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Override PartName="/word/glossary/document.xml" ContentType="application/vnd.openxmlformats-officedocument.wordprocessingml.document.glossary+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extended-properties" Target="docProps/app.xml" Id="rId4" /><Relationship Type="http://schemas.openxmlformats.org/officeDocument/2006/relationships/officeDocument" Target="word/document.xml" Id="rId1" /><Relationship Type="http://schemas.openxmlformats.org/package/2006/relationships/metadata/thumbnail" Target="docProps/thumbnail.jpeg" Id="rId2" /><Relationship Type="http://schemas.openxmlformats.org/officeDocument/2006/relationships/custom-properties" Target="docProps/custom.xml" Id="Red9e735965cf4445"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body>
    <w:p xmlns:wp14="http://schemas.microsoft.com/office/word/2010/wordml" w14:paraId="672A6659" wp14:textId="77777777">
      <w:pPr>
        <w:spacing w:before="0" w:after="0" w:line="480" w:lineRule="auto"/>
        <w:ind w:firstLine="0"/>
        <w:jc w:val="center"/>
      </w:pPr>
    </w:p>
    <w:p xmlns:wp14="http://schemas.microsoft.com/office/word/2010/wordml" w14:paraId="0A37501D" wp14:textId="77777777">
      <w:pPr>
        <w:spacing w:before="0" w:after="0" w:line="480" w:lineRule="auto"/>
        <w:ind w:firstLine="0"/>
        <w:jc w:val="center"/>
      </w:pPr>
    </w:p>
    <w:p xmlns:wp14="http://schemas.microsoft.com/office/word/2010/wordml" w14:paraId="5DAB6C7B" wp14:textId="77777777">
      <w:pPr>
        <w:spacing w:before="0" w:after="0" w:line="480" w:lineRule="auto"/>
        <w:ind w:firstLine="0"/>
        <w:jc w:val="center"/>
      </w:pPr>
    </w:p>
    <w:p xmlns:wp14="http://schemas.microsoft.com/office/word/2010/wordml" w14:paraId="6FEE74CF" wp14:textId="77777777">
      <w:pPr>
        <w:spacing w:line="480" w:lineRule="auto"/>
        <w:jc w:val="center"/>
      </w:pPr>
      <w:r>
        <w:rPr>
          <w:rFonts w:ascii="Times New Roman" w:hAnsi="Times New Roman" w:eastAsia="Times New Roman"/>
          <w:b/>
          <w:color w:val="000000"/>
          <w:sz w:val="24"/>
        </w:rPr>
        <w:t>Team Strategic Analysis Report: Airbnb, Inc.</w:t>
      </w:r>
    </w:p>
    <w:p xmlns:wp14="http://schemas.microsoft.com/office/word/2010/wordml" w14:paraId="10CD66FA" wp14:textId="77777777">
      <w:pPr>
        <w:spacing w:before="0" w:after="0" w:line="480" w:lineRule="auto"/>
        <w:jc w:val="center"/>
      </w:pPr>
      <w:r>
        <w:rPr>
          <w:rFonts w:ascii="Times New Roman" w:hAnsi="Times New Roman" w:eastAsia="Times New Roman"/>
          <w:color w:val="000000"/>
          <w:sz w:val="24"/>
        </w:rPr>
        <w:t>Dinara Baimukhanova</w:t>
      </w:r>
    </w:p>
    <w:p xmlns:wp14="http://schemas.microsoft.com/office/word/2010/wordml" w14:paraId="34436012" wp14:textId="77777777">
      <w:pPr>
        <w:spacing w:before="0" w:after="0" w:line="480" w:lineRule="auto"/>
        <w:jc w:val="center"/>
      </w:pPr>
      <w:r>
        <w:rPr>
          <w:rFonts w:ascii="Times New Roman" w:hAnsi="Times New Roman" w:eastAsia="Times New Roman"/>
          <w:color w:val="000000"/>
          <w:sz w:val="24"/>
        </w:rPr>
        <w:t>Apuroop Reddy Tummala</w:t>
      </w:r>
    </w:p>
    <w:p xmlns:wp14="http://schemas.microsoft.com/office/word/2010/wordml" w14:paraId="269593BE" wp14:textId="77777777">
      <w:pPr>
        <w:spacing w:before="0" w:after="0" w:line="480" w:lineRule="auto"/>
        <w:jc w:val="center"/>
      </w:pPr>
      <w:r>
        <w:rPr>
          <w:rFonts w:ascii="Times New Roman" w:hAnsi="Times New Roman" w:eastAsia="Times New Roman"/>
          <w:color w:val="000000"/>
          <w:sz w:val="24"/>
        </w:rPr>
        <w:t>Ayush Dhungel</w:t>
      </w:r>
    </w:p>
    <w:p xmlns:wp14="http://schemas.microsoft.com/office/word/2010/wordml" w14:paraId="573A9CF4" wp14:textId="77777777">
      <w:pPr>
        <w:spacing w:before="0" w:after="0" w:line="480" w:lineRule="auto"/>
        <w:jc w:val="center"/>
      </w:pPr>
      <w:r>
        <w:rPr>
          <w:rFonts w:ascii="Times New Roman" w:hAnsi="Times New Roman" w:eastAsia="Times New Roman"/>
          <w:color w:val="000000"/>
          <w:sz w:val="24"/>
        </w:rPr>
        <w:t>Rohit Alavala</w:t>
      </w:r>
    </w:p>
    <w:p xmlns:wp14="http://schemas.microsoft.com/office/word/2010/wordml" w14:paraId="58351218" wp14:textId="77777777">
      <w:pPr>
        <w:spacing w:before="0" w:after="0" w:line="480" w:lineRule="auto"/>
        <w:jc w:val="center"/>
      </w:pPr>
      <w:r>
        <w:rPr>
          <w:rFonts w:ascii="Times New Roman" w:hAnsi="Times New Roman" w:eastAsia="Times New Roman"/>
          <w:color w:val="000000"/>
          <w:sz w:val="24"/>
        </w:rPr>
        <w:t>Sumana Allagadda</w:t>
      </w:r>
    </w:p>
    <w:p xmlns:wp14="http://schemas.microsoft.com/office/word/2010/wordml" w14:paraId="55F3AE92" wp14:textId="77777777">
      <w:pPr>
        <w:spacing w:before="0" w:after="0" w:line="480" w:lineRule="auto"/>
        <w:jc w:val="center"/>
      </w:pPr>
      <w:r>
        <w:rPr>
          <w:rFonts w:ascii="Times New Roman" w:hAnsi="Times New Roman" w:eastAsia="Times New Roman"/>
          <w:color w:val="000000"/>
          <w:sz w:val="24"/>
        </w:rPr>
        <w:t>Chiemeka J. Iheonu</w:t>
      </w:r>
    </w:p>
    <w:sdt>
      <w:sdtPr>
        <w:id w:val="2051751566"/>
        <w15:appearance w15:val="hidden"/>
        <w:tag w:val="tii-similarity-U1VCTUlUVEVEX1dPUktfb2lkOjMxMTc6NjMzOTQ5ODIz"/>
        <w:placeholder>
          <w:docPart w:val="DefaultPlaceholder_-1854013440"/>
        </w:placeholder>
      </w:sdtPr>
      <w:sdtContent>
        <w:p xmlns:wp14="http://schemas.microsoft.com/office/word/2010/wordml" w:rsidP="73DA7CAF" w14:paraId="686D3D1C" wp14:textId="77777777">
          <w:pPr>
            <w:spacing w:before="0" w:after="0" w:line="480" w:lineRule="auto"/>
            <w:jc w:val="center"/>
            <w:rPr>
              <w:rFonts w:ascii="Times New Roman" w:hAnsi="Times New Roman" w:eastAsia="Times New Roman"/>
              <w:color w:val="000000" w:themeColor="text1" w:themeTint="FF" w:themeShade="FF"/>
              <w:sz w:val="24"/>
              <w:szCs w:val="24"/>
            </w:rPr>
          </w:pPr>
          <w:r w:rsidRPr="73DA7CAF" w:rsidR="73DA7CAF">
            <w:rPr>
              <w:rFonts w:ascii="Times New Roman" w:hAnsi="Times New Roman" w:eastAsia="Times New Roman"/>
              <w:color w:val="000000" w:themeColor="text1" w:themeTint="FF" w:themeShade="FF"/>
              <w:sz w:val="24"/>
              <w:szCs w:val="24"/>
            </w:rPr>
            <w:t>Ottawa University</w:t>
          </w:r>
        </w:p>
      </w:sdtContent>
    </w:sdt>
    <w:sdt>
      <w:sdtPr>
        <w:id w:val="622844994"/>
        <w15:appearance w15:val="hidden"/>
        <w:tag w:val="tii-similarity-U1VCTUlUVEVEX1dPUktfb2lkOjMxMTc6NjMzOTQ5ODIz"/>
        <w:placeholder>
          <w:docPart w:val="DefaultPlaceholder_-1854013440"/>
        </w:placeholder>
      </w:sdtPr>
      <w:sdtContent>
        <w:p xmlns:wp14="http://schemas.microsoft.com/office/word/2010/wordml" w:rsidP="73DA7CAF" w14:paraId="2E4711A6" wp14:textId="77777777">
          <w:pPr>
            <w:spacing w:before="0" w:after="0" w:line="480" w:lineRule="auto"/>
            <w:jc w:val="center"/>
            <w:rPr>
              <w:rFonts w:ascii="Times New Roman" w:hAnsi="Times New Roman" w:eastAsia="Times New Roman"/>
              <w:color w:val="000000" w:themeColor="text1" w:themeTint="FF" w:themeShade="FF"/>
              <w:sz w:val="24"/>
              <w:szCs w:val="24"/>
            </w:rPr>
          </w:pPr>
          <w:r w:rsidRPr="73DA7CAF" w:rsidR="73DA7CAF">
            <w:rPr>
              <w:rFonts w:ascii="Times New Roman" w:hAnsi="Times New Roman" w:eastAsia="Times New Roman"/>
              <w:color w:val="000000" w:themeColor="text1" w:themeTint="FF" w:themeShade="FF"/>
              <w:sz w:val="24"/>
              <w:szCs w:val="24"/>
            </w:rPr>
            <w:t>BUS-POLICIES-AND-STRTG-BUS-8500-F1-2026-KE-ARMBRUST</w:t>
          </w:r>
        </w:p>
      </w:sdtContent>
    </w:sdt>
    <w:sdt>
      <w:sdtPr>
        <w:id w:val="1968000414"/>
        <w15:appearance w15:val="hidden"/>
        <w:tag w:val="tii-similarity-U1VCTUlUVEVEX1dPUktfb2lkOjMxMTc6NjMzOTQ5ODIz"/>
        <w:placeholder>
          <w:docPart w:val="DefaultPlaceholder_-1854013440"/>
        </w:placeholder>
      </w:sdtPr>
      <w:sdtContent>
        <w:p xmlns:wp14="http://schemas.microsoft.com/office/word/2010/wordml" w:rsidP="73DA7CAF" w14:paraId="77287496" wp14:textId="77777777">
          <w:pPr>
            <w:spacing w:before="0" w:after="0" w:line="480" w:lineRule="auto"/>
            <w:jc w:val="center"/>
            <w:rPr>
              <w:rFonts w:ascii="Times New Roman" w:hAnsi="Times New Roman" w:eastAsia="Times New Roman"/>
              <w:color w:val="000000" w:themeColor="text1" w:themeTint="FF" w:themeShade="FF"/>
              <w:sz w:val="24"/>
              <w:szCs w:val="24"/>
            </w:rPr>
          </w:pPr>
          <w:r w:rsidRPr="73DA7CAF" w:rsidR="73DA7CAF">
            <w:rPr>
              <w:rFonts w:ascii="Times New Roman" w:hAnsi="Times New Roman" w:eastAsia="Times New Roman"/>
              <w:color w:val="000000" w:themeColor="text1" w:themeTint="FF" w:themeShade="FF"/>
              <w:sz w:val="24"/>
              <w:szCs w:val="24"/>
            </w:rPr>
            <w:t>Professor Robert Armbrust</w:t>
          </w:r>
        </w:p>
      </w:sdtContent>
    </w:sdt>
    <w:p xmlns:wp14="http://schemas.microsoft.com/office/word/2010/wordml" w14:paraId="6739432B" wp14:textId="77777777">
      <w:pPr>
        <w:spacing w:before="0" w:after="0" w:line="480" w:lineRule="auto"/>
        <w:jc w:val="center"/>
      </w:pPr>
      <w:sdt>
        <w:sdtPr>
          <w:id w:val="1732474792"/>
          <w15:appearance w15:val="hidden"/>
          <w:tag w:val="tii-similarity-U1VCTUlUVEVEX1dPUktfb2lkOjMxMTc6NjMzOTQ5ODIz"/>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October</w:t>
          </w:r>
        </w:sdtContent>
      </w:sdt>
      <w:r w:rsidRPr="73DA7CAF" w:rsidR="73DA7CAF">
        <w:rPr>
          <w:rFonts w:ascii="Times New Roman" w:hAnsi="Times New Roman" w:eastAsia="Times New Roman"/>
          <w:color w:val="000000" w:themeColor="text1" w:themeTint="FF" w:themeShade="FF"/>
          <w:sz w:val="24"/>
          <w:szCs w:val="24"/>
        </w:rPr>
        <w:t xml:space="preserve"> 17, 2026</w:t>
      </w:r>
    </w:p>
    <w:p xmlns:wp14="http://schemas.microsoft.com/office/word/2010/wordml" w14:paraId="02EB378F" wp14:textId="77777777">
      <w:r>
        <w:br w:type="page"/>
      </w:r>
    </w:p>
    <w:p xmlns:wp14="http://schemas.microsoft.com/office/word/2010/wordml" w14:paraId="05C130EC" wp14:textId="77777777">
      <w:pPr>
        <w:keepNext/>
        <w:spacing w:before="0" w:after="0" w:line="480" w:lineRule="auto"/>
        <w:jc w:val="center"/>
      </w:pPr>
      <w:r>
        <w:rPr>
          <w:rFonts w:ascii="Times New Roman" w:hAnsi="Times New Roman" w:eastAsia="Times New Roman"/>
          <w:b/>
          <w:color w:val="000000"/>
          <w:sz w:val="24"/>
        </w:rPr>
        <w:t>Team Strategic Analysis Report Airbnb Inc</w:t>
      </w:r>
    </w:p>
    <w:p xmlns:wp14="http://schemas.microsoft.com/office/word/2010/wordml" w14:paraId="3389CED7" wp14:textId="77777777">
      <w:pPr>
        <w:spacing w:before="0" w:after="0" w:line="480" w:lineRule="auto"/>
        <w:ind w:firstLine="720"/>
        <w:jc w:val="left"/>
      </w:pPr>
      <w:r>
        <w:rPr>
          <w:rFonts w:ascii="Times New Roman" w:hAnsi="Times New Roman" w:eastAsia="Times New Roman"/>
          <w:color w:val="000000"/>
          <w:sz w:val="24"/>
        </w:rPr>
        <w:t>Airbnb enters the next stage of its growth with a profitable global platform, a large host network, and a business model that can scale without owning most of the accommodations sold through it. Those advantages are meaningful, but they do not remove the company's basic operating problem. Guests still receive a physical stay that Airbnb does not directly control, and local governments continue to restrict short-term rentals when they believe those rentals reduce housing supply or disrupt neighborhoods (Guttentag, 2015). The strategic question is therefore how Airbnb can keep growing while improving consistency and reducing exposure to the most restrictive short-term rental rules.</w:t>
      </w:r>
    </w:p>
    <w:p xmlns:wp14="http://schemas.microsoft.com/office/word/2010/wordml" w14:paraId="5F4373F2" wp14:textId="77777777">
      <w:pPr>
        <w:spacing w:before="0" w:after="0" w:line="480" w:lineRule="auto"/>
        <w:ind w:firstLine="720"/>
        <w:jc w:val="left"/>
      </w:pPr>
      <w:r>
        <w:rPr>
          <w:rFonts w:ascii="Times New Roman" w:hAnsi="Times New Roman" w:eastAsia="Times New Roman"/>
          <w:color w:val="000000"/>
          <w:sz w:val="24"/>
        </w:rPr>
        <w:t>This report recommends that Airbnb build an institutional co-hosting and mid-term corporate housing network. The program would recruit qualified property managers, corporate housing providers, relocation firms, and experienced co-hosts to supply professionally managed stays of 30 nights or longer. Airbnb would continue to provide the marketplace, payments, search, reviews, and customer support. Partners would manage the properties and meet a higher operating standard. The model preserves Airbnb's asset-light economics while giving the company more reliable inventory for workers, relocating employees, project teams, students, medical travelers, and guests between permanent homes.</w:t>
      </w:r>
    </w:p>
    <w:p xmlns:wp14="http://schemas.microsoft.com/office/word/2010/wordml" w14:paraId="34A46838" wp14:textId="77777777">
      <w:pPr>
        <w:spacing w:before="0" w:after="0" w:line="480" w:lineRule="auto"/>
        <w:ind w:firstLine="720"/>
        <w:jc w:val="left"/>
      </w:pPr>
      <w:r>
        <w:rPr>
          <w:rFonts w:ascii="Times New Roman" w:hAnsi="Times New Roman" w:eastAsia="Times New Roman"/>
          <w:color w:val="000000"/>
          <w:sz w:val="24"/>
        </w:rPr>
        <w:t>The report reviews the internal and external analyses, develops the BCG, financial, and expanded SWOT diagnoses, and then applies the required problem-solving model. Section IV defines the problem, compares alternatives, selects the best approach, and sets out a three-year pilot with financial assumptions, milestones, controls, and measures of success. The projection is illustrative, not Airbnb guidance.</w:t>
      </w:r>
    </w:p>
    <w:p xmlns:wp14="http://schemas.microsoft.com/office/word/2010/wordml" w14:paraId="6A05A809" wp14:textId="77777777">
      <w:r>
        <w:br w:type="page"/>
      </w:r>
    </w:p>
    <w:p xmlns:wp14="http://schemas.microsoft.com/office/word/2010/wordml" w14:paraId="6D4C917E" wp14:textId="77777777">
      <w:pPr>
        <w:keepNext/>
        <w:spacing w:before="0" w:after="0" w:line="480" w:lineRule="auto"/>
        <w:jc w:val="center"/>
      </w:pPr>
      <w:r>
        <w:rPr>
          <w:rFonts w:ascii="Times New Roman" w:hAnsi="Times New Roman" w:eastAsia="Times New Roman"/>
          <w:b/>
          <w:color w:val="000000"/>
          <w:sz w:val="24"/>
        </w:rPr>
        <w:t>Section I Internal Situation Analysis</w:t>
      </w:r>
    </w:p>
    <w:p xmlns:wp14="http://schemas.microsoft.com/office/word/2010/wordml" w14:paraId="3DC9110D" wp14:textId="77777777">
      <w:pPr>
        <w:keepNext/>
        <w:spacing w:before="0" w:after="0" w:line="480" w:lineRule="auto"/>
        <w:jc w:val="left"/>
      </w:pPr>
      <w:r>
        <w:rPr>
          <w:rFonts w:ascii="Times New Roman" w:hAnsi="Times New Roman" w:eastAsia="Times New Roman"/>
          <w:b/>
          <w:color w:val="000000"/>
          <w:sz w:val="24"/>
        </w:rPr>
        <w:t>Business Model Resources and Capabilities</w:t>
      </w:r>
    </w:p>
    <w:p xmlns:wp14="http://schemas.microsoft.com/office/word/2010/wordml" w14:paraId="7C367B16" wp14:textId="3138E901">
      <w:pPr>
        <w:spacing w:before="0" w:after="0" w:line="480" w:lineRule="auto"/>
        <w:ind w:firstLine="720"/>
        <w:jc w:val="left"/>
      </w:pPr>
      <w:r w:rsidRPr="73DA7CAF" w:rsidR="73DA7CAF">
        <w:rPr>
          <w:rFonts w:ascii="Times New Roman" w:hAnsi="Times New Roman" w:eastAsia="Times New Roman"/>
          <w:color w:val="000000" w:themeColor="text1" w:themeTint="FF" w:themeShade="FF"/>
          <w:sz w:val="24"/>
          <w:szCs w:val="24"/>
        </w:rPr>
        <w:t xml:space="preserve">Airbnb began as a way for hosts to offer spare space to travelers and developed into a two-sided marketplace connecting guests with independent accommodation providers. The platform creates value through search, matching, payments, reviews, customer support, identity tools, and trust and safety processes. Because </w:t>
      </w:r>
      <w:sdt>
        <w:sdtPr>
          <w:id w:val="2000201895"/>
          <w15:appearance w15:val="hidden"/>
          <w:tag w:val="tii-similarity-U1VCTUlUVEVEX1dPUktfb2lkOjMxMTc6NjE0MjE5MDk1"/>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Airbnb does not own most</w:t>
          </w:r>
        </w:sdtContent>
      </w:sdt>
      <w:r w:rsidRPr="73DA7CAF" w:rsidR="73DA7CAF">
        <w:rPr>
          <w:rFonts w:ascii="Times New Roman" w:hAnsi="Times New Roman" w:eastAsia="Times New Roman"/>
          <w:color w:val="000000" w:themeColor="text1" w:themeTint="FF" w:themeShade="FF"/>
          <w:sz w:val="24"/>
          <w:szCs w:val="24"/>
        </w:rPr>
        <w:t xml:space="preserve"> of the </w:t>
      </w:r>
      <w:sdt>
        <w:sdtPr>
          <w:id w:val="682526632"/>
          <w15:appearance w15:val="hidden"/>
          <w:tag w:val="tii-similarity-U1VCTUlUVEVEX1dPUktfb2lkOjMxMTc6NjE0MjE5MDk1"/>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listed</w:t>
          </w:r>
        </w:sdtContent>
      </w:sdt>
      <w:r w:rsidRPr="73DA7CAF" w:rsidR="73DA7CAF">
        <w:rPr>
          <w:rFonts w:ascii="Times New Roman" w:hAnsi="Times New Roman" w:eastAsia="Times New Roman"/>
          <w:color w:val="000000" w:themeColor="text1" w:themeTint="FF" w:themeShade="FF"/>
          <w:sz w:val="24"/>
          <w:szCs w:val="24"/>
        </w:rPr>
        <w:t xml:space="preserve"> </w:t>
      </w:r>
      <w:sdt>
        <w:sdtPr>
          <w:id w:val="1223666471"/>
          <w15:appearance w15:val="hidden"/>
          <w:tag w:val="tii-similarity-U1VCTUlUVEVEX1dPUktfb2lkOjMxMTc6NjE0MjE5MDk1"/>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properties, it</w:t>
          </w:r>
        </w:sdtContent>
      </w:sdt>
      <w:r w:rsidRPr="73DA7CAF" w:rsidR="73DA7CAF">
        <w:rPr>
          <w:rFonts w:ascii="Times New Roman" w:hAnsi="Times New Roman" w:eastAsia="Times New Roman"/>
          <w:color w:val="000000" w:themeColor="text1" w:themeTint="FF" w:themeShade="FF"/>
          <w:sz w:val="24"/>
          <w:szCs w:val="24"/>
        </w:rPr>
        <w:t xml:space="preserve"> can enter markets without making the real estate investment required of a hotel chain. Marketplace research explains why this structure can scale quickly: the platform coordinates outside resources while each </w:t>
      </w:r>
      <w:r w:rsidRPr="73DA7CAF" w:rsidR="73DA7CAF">
        <w:rPr>
          <w:rFonts w:ascii="Times New Roman" w:hAnsi="Times New Roman" w:eastAsia="Times New Roman"/>
          <w:color w:val="000000" w:themeColor="text1" w:themeTint="FF" w:themeShade="FF"/>
          <w:sz w:val="24"/>
          <w:szCs w:val="24"/>
        </w:rPr>
        <w:t>additional</w:t>
      </w:r>
      <w:r w:rsidRPr="73DA7CAF" w:rsidR="73DA7CAF">
        <w:rPr>
          <w:rFonts w:ascii="Times New Roman" w:hAnsi="Times New Roman" w:eastAsia="Times New Roman"/>
          <w:color w:val="000000" w:themeColor="text1" w:themeTint="FF" w:themeShade="FF"/>
          <w:sz w:val="24"/>
          <w:szCs w:val="24"/>
        </w:rPr>
        <w:t xml:space="preserve"> group of users makes the service more useful to the other side (</w:t>
      </w:r>
      <w:r w:rsidRPr="73DA7CAF" w:rsidR="73DA7CAF">
        <w:rPr>
          <w:rFonts w:ascii="Times New Roman" w:hAnsi="Times New Roman" w:eastAsia="Times New Roman"/>
          <w:color w:val="000000" w:themeColor="text1" w:themeTint="FF" w:themeShade="FF"/>
          <w:sz w:val="24"/>
          <w:szCs w:val="24"/>
        </w:rPr>
        <w:t>Tauscher</w:t>
      </w:r>
      <w:r w:rsidRPr="73DA7CAF" w:rsidR="73DA7CAF">
        <w:rPr>
          <w:rFonts w:ascii="Times New Roman" w:hAnsi="Times New Roman" w:eastAsia="Times New Roman"/>
          <w:color w:val="000000" w:themeColor="text1" w:themeTint="FF" w:themeShade="FF"/>
          <w:sz w:val="24"/>
          <w:szCs w:val="24"/>
        </w:rPr>
        <w:t xml:space="preserve"> &amp; </w:t>
      </w:r>
      <w:r w:rsidRPr="73DA7CAF" w:rsidR="73DA7CAF">
        <w:rPr>
          <w:rFonts w:ascii="Times New Roman" w:hAnsi="Times New Roman" w:eastAsia="Times New Roman"/>
          <w:color w:val="000000" w:themeColor="text1" w:themeTint="FF" w:themeShade="FF"/>
          <w:sz w:val="24"/>
          <w:szCs w:val="24"/>
        </w:rPr>
        <w:t>Laudien</w:t>
      </w:r>
      <w:r w:rsidRPr="73DA7CAF" w:rsidR="73DA7CAF">
        <w:rPr>
          <w:rFonts w:ascii="Times New Roman" w:hAnsi="Times New Roman" w:eastAsia="Times New Roman"/>
          <w:color w:val="000000" w:themeColor="text1" w:themeTint="FF" w:themeShade="FF"/>
          <w:sz w:val="24"/>
          <w:szCs w:val="24"/>
        </w:rPr>
        <w:t>, 2018; Zeng et al., 2021).</w:t>
      </w:r>
    </w:p>
    <w:p xmlns:wp14="http://schemas.microsoft.com/office/word/2010/wordml" w14:paraId="7E79CA11" wp14:textId="2A6DCCAB">
      <w:pPr>
        <w:spacing w:before="0" w:after="0" w:line="480" w:lineRule="auto"/>
        <w:ind w:firstLine="720"/>
        <w:jc w:val="left"/>
      </w:pPr>
      <w:r w:rsidRPr="73DA7CAF" w:rsidR="73DA7CAF">
        <w:rPr>
          <w:rFonts w:ascii="Times New Roman" w:hAnsi="Times New Roman" w:eastAsia="Times New Roman"/>
          <w:color w:val="000000" w:themeColor="text1" w:themeTint="FF" w:themeShade="FF"/>
          <w:sz w:val="24"/>
          <w:szCs w:val="24"/>
        </w:rPr>
        <w:t xml:space="preserve">Airbnb's strongest resources are its global brand, installed base of hosts and guests, accumulated reviews, technology, and transaction data. These resources reinforce one another. </w:t>
      </w:r>
      <w:r w:rsidRPr="73DA7CAF" w:rsidR="73DA7CAF">
        <w:rPr>
          <w:rFonts w:ascii="Times New Roman" w:hAnsi="Times New Roman" w:eastAsia="Times New Roman"/>
          <w:color w:val="000000" w:themeColor="text1" w:themeTint="FF" w:themeShade="FF"/>
          <w:sz w:val="24"/>
          <w:szCs w:val="24"/>
        </w:rPr>
        <w:t>A broad supply of homes attracts guests seeking variety, and guest demand attracts more hosts.</w:t>
      </w:r>
      <w:r w:rsidRPr="73DA7CAF" w:rsidR="73DA7CAF">
        <w:rPr>
          <w:rFonts w:ascii="Times New Roman" w:hAnsi="Times New Roman" w:eastAsia="Times New Roman"/>
          <w:color w:val="000000" w:themeColor="text1" w:themeTint="FF" w:themeShade="FF"/>
          <w:sz w:val="24"/>
          <w:szCs w:val="24"/>
        </w:rPr>
        <w:t xml:space="preserve"> Reviews and transaction history reduce some of the uncertainty that comes with booking an unfamiliar property. Trust still matters because the value promised online must be delivered at a property managed by someone else. </w:t>
      </w:r>
      <w:r w:rsidRPr="73DA7CAF" w:rsidR="73DA7CAF">
        <w:rPr>
          <w:rFonts w:ascii="Times New Roman" w:hAnsi="Times New Roman" w:eastAsia="Times New Roman"/>
          <w:color w:val="000000" w:themeColor="text1" w:themeTint="FF" w:themeShade="FF"/>
          <w:sz w:val="24"/>
          <w:szCs w:val="24"/>
        </w:rPr>
        <w:t>Mohlman</w:t>
      </w:r>
      <w:r w:rsidRPr="73DA7CAF" w:rsidR="73DA7CAF">
        <w:rPr>
          <w:rFonts w:ascii="Times New Roman" w:hAnsi="Times New Roman" w:eastAsia="Times New Roman"/>
          <w:color w:val="000000" w:themeColor="text1" w:themeTint="FF" w:themeShade="FF"/>
          <w:sz w:val="24"/>
          <w:szCs w:val="24"/>
        </w:rPr>
        <w:t xml:space="preserve"> (2015) found that utility, trust, cost savings, and familiarity were central to users' satisfaction and intention to use Airbnb again. A failure in cleanliness, safety, or </w:t>
      </w:r>
      <w:r w:rsidRPr="73DA7CAF" w:rsidR="73DA7CAF">
        <w:rPr>
          <w:rFonts w:ascii="Times New Roman" w:hAnsi="Times New Roman" w:eastAsia="Times New Roman"/>
          <w:color w:val="000000" w:themeColor="text1" w:themeTint="FF" w:themeShade="FF"/>
          <w:sz w:val="24"/>
          <w:szCs w:val="24"/>
        </w:rPr>
        <w:t>listing</w:t>
      </w:r>
      <w:r w:rsidRPr="73DA7CAF" w:rsidR="73DA7CAF">
        <w:rPr>
          <w:rFonts w:ascii="Times New Roman" w:hAnsi="Times New Roman" w:eastAsia="Times New Roman"/>
          <w:color w:val="000000" w:themeColor="text1" w:themeTint="FF" w:themeShade="FF"/>
          <w:sz w:val="24"/>
          <w:szCs w:val="24"/>
        </w:rPr>
        <w:t xml:space="preserve"> accuracy can therefore damage a relationship that took years to build.</w:t>
      </w:r>
    </w:p>
    <w:p xmlns:wp14="http://schemas.microsoft.com/office/word/2010/wordml" w14:paraId="454E03CA" wp14:textId="77777777">
      <w:pPr>
        <w:spacing w:before="0" w:after="0" w:line="480" w:lineRule="auto"/>
        <w:ind w:firstLine="720"/>
        <w:jc w:val="left"/>
      </w:pPr>
      <w:r>
        <w:rPr>
          <w:rFonts w:ascii="Times New Roman" w:hAnsi="Times New Roman" w:eastAsia="Times New Roman"/>
          <w:color w:val="000000"/>
          <w:sz w:val="24"/>
        </w:rPr>
        <w:t>Because Airbnb cannot supervise every stay, a professional tier should add control through standards and monitoring rather than property ownership (Dogru et al., 2020).</w:t>
      </w:r>
    </w:p>
    <w:p xmlns:wp14="http://schemas.microsoft.com/office/word/2010/wordml" w14:paraId="5A39BBE3" wp14:textId="77777777">
      <w:r>
        <w:br w:type="page"/>
      </w:r>
    </w:p>
    <w:p xmlns:wp14="http://schemas.microsoft.com/office/word/2010/wordml" w14:paraId="7441A806" wp14:textId="77777777">
      <w:pPr>
        <w:keepNext/>
        <w:spacing w:before="0" w:after="0" w:line="480" w:lineRule="auto"/>
        <w:jc w:val="center"/>
      </w:pPr>
      <w:r>
        <w:rPr>
          <w:rFonts w:ascii="Times New Roman" w:hAnsi="Times New Roman" w:eastAsia="Times New Roman"/>
          <w:b/>
          <w:color w:val="000000"/>
          <w:sz w:val="24"/>
        </w:rPr>
        <w:t>Financial Condition Value Chain and Competitive Strategy</w:t>
      </w:r>
    </w:p>
    <w:p xmlns:wp14="http://schemas.microsoft.com/office/word/2010/wordml" w14:paraId="007BA7E2" wp14:textId="77777777">
      <w:pPr>
        <w:spacing w:before="0" w:after="0" w:line="480" w:lineRule="auto"/>
        <w:ind w:firstLine="720"/>
        <w:jc w:val="left"/>
      </w:pPr>
      <w:r w:rsidRPr="73DA7CAF" w:rsidR="73DA7CAF">
        <w:rPr>
          <w:rFonts w:ascii="Times New Roman" w:hAnsi="Times New Roman" w:eastAsia="Times New Roman"/>
          <w:color w:val="000000" w:themeColor="text1" w:themeTint="FF" w:themeShade="FF"/>
          <w:sz w:val="24"/>
          <w:szCs w:val="24"/>
        </w:rPr>
        <w:t xml:space="preserve">Airbnb's 2025 results show that the company has the capacity to fund a controlled pilot from internal resources. </w:t>
      </w:r>
      <w:sdt>
        <w:sdtPr>
          <w:id w:val="1871348660"/>
          <w15:appearance w15:val="hidden"/>
          <w:tag w:val="tii-similarity-SU5URVJORVRfd3d3LmFiYWJuZXdzLmNvbQ=="/>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Revenue was $12.241 billion,</w:t>
          </w:r>
        </w:sdtContent>
      </w:sdt>
      <w:r w:rsidRPr="73DA7CAF" w:rsidR="73DA7CAF">
        <w:rPr>
          <w:rFonts w:ascii="Times New Roman" w:hAnsi="Times New Roman" w:eastAsia="Times New Roman"/>
          <w:color w:val="000000" w:themeColor="text1" w:themeTint="FF" w:themeShade="FF"/>
          <w:sz w:val="24"/>
          <w:szCs w:val="24"/>
        </w:rPr>
        <w:t xml:space="preserve"> </w:t>
      </w:r>
      <w:sdt>
        <w:sdtPr>
          <w:id w:val="611033667"/>
          <w15:appearance w15:val="hidden"/>
          <w:tag w:val="tii-similarity-SU5URVJORVRfd3d3LmFiYWJuZXdzLmNvbQ=="/>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net income was $2.511 billion, and free cash flow was</w:t>
          </w:r>
        </w:sdtContent>
      </w:sdt>
      <w:r w:rsidRPr="73DA7CAF" w:rsidR="73DA7CAF">
        <w:rPr>
          <w:rFonts w:ascii="Times New Roman" w:hAnsi="Times New Roman" w:eastAsia="Times New Roman"/>
          <w:color w:val="000000" w:themeColor="text1" w:themeTint="FF" w:themeShade="FF"/>
          <w:sz w:val="24"/>
          <w:szCs w:val="24"/>
        </w:rPr>
        <w:t xml:space="preserve"> approximately $4.6 </w:t>
      </w:r>
      <w:sdt>
        <w:sdtPr>
          <w:id w:val="1849842378"/>
          <w15:appearance w15:val="hidden"/>
          <w:tag w:val="tii-similarity-U1VCTUlUVEVEX1dPUktfb2lkOjI6ODU0NDk3Nzgy"/>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billion. Current assets were $18.797 billion and current liabilities were</w:t>
          </w:r>
        </w:sdtContent>
      </w:sdt>
      <w:r w:rsidRPr="73DA7CAF" w:rsidR="73DA7CAF">
        <w:rPr>
          <w:rFonts w:ascii="Times New Roman" w:hAnsi="Times New Roman" w:eastAsia="Times New Roman"/>
          <w:color w:val="000000" w:themeColor="text1" w:themeTint="FF" w:themeShade="FF"/>
          <w:sz w:val="24"/>
          <w:szCs w:val="24"/>
        </w:rPr>
        <w:t xml:space="preserve"> </w:t>
      </w:r>
      <w:sdt>
        <w:sdtPr>
          <w:id w:val="1257926490"/>
          <w15:appearance w15:val="hidden"/>
          <w:tag w:val="tii-similarity-U1VCTUlUVEVEX1dPUktfb2lkOjI6ODU0NDk3Nzgy"/>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$13.649 billion</w:t>
          </w:r>
        </w:sdtContent>
      </w:sdt>
      <w:r w:rsidRPr="73DA7CAF" w:rsidR="73DA7CAF">
        <w:rPr>
          <w:rFonts w:ascii="Times New Roman" w:hAnsi="Times New Roman" w:eastAsia="Times New Roman"/>
          <w:color w:val="000000" w:themeColor="text1" w:themeTint="FF" w:themeShade="FF"/>
          <w:sz w:val="24"/>
          <w:szCs w:val="24"/>
        </w:rPr>
        <w:t xml:space="preserve"> (Airbnb, Inc., 2026). These figures support investment, but they do not justify spending without stage gates. The program should earn the right to expand through verified demand, service quality, compliance, and contribution margin.</w:t>
      </w:r>
    </w:p>
    <w:p xmlns:wp14="http://schemas.microsoft.com/office/word/2010/wordml" w14:paraId="0207AA04" wp14:textId="77777777">
      <w:pPr>
        <w:keepNext/>
        <w:spacing w:before="0" w:after="0" w:line="480" w:lineRule="auto"/>
      </w:pPr>
      <w:r>
        <w:rPr>
          <w:rFonts w:ascii="Times New Roman" w:hAnsi="Times New Roman" w:eastAsia="Times New Roman"/>
          <w:b/>
          <w:color w:val="000000"/>
          <w:sz w:val="24"/>
        </w:rPr>
        <w:t>Table 1</w:t>
      </w:r>
      <w:r>
        <w:rPr>
          <w:rFonts w:ascii="Times New Roman" w:hAnsi="Times New Roman" w:eastAsia="Times New Roman"/>
          <w:b/>
          <w:color w:val="000000"/>
          <w:sz w:val="24"/>
        </w:rPr>
        <w:br/>
      </w:r>
      <w:r>
        <w:rPr>
          <w:rFonts w:ascii="Times New Roman" w:hAnsi="Times New Roman" w:eastAsia="Times New Roman"/>
          <w:i/>
          <w:color w:val="000000"/>
          <w:sz w:val="24"/>
        </w:rPr>
        <w:t>Airbnb Financial Ratios for 2025</w:t>
      </w:r>
    </w:p>
    <w:tbl>
      <w:tblPr>
        <w:tblW w:w="9360" w:type="dxa"/>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autofit"/>
        <w:tblLook w:val="04A0" w:firstRow="1" w:lastRow="0" w:firstColumn="1" w:lastColumn="0" w:noHBand="0" w:noVBand="1"/>
      </w:tblPr>
      <w:tblGrid>
        <w:gridCol w:w="2340"/>
        <w:gridCol w:w="2340"/>
        <w:gridCol w:w="1200"/>
        <w:gridCol w:w="3480"/>
      </w:tblGrid>
      <w:tr xmlns:wp14="http://schemas.microsoft.com/office/word/2010/wordml" w:rsidTr="73DA7CAF" w14:paraId="7DB76489" wp14:textId="77777777">
        <w:trPr>
          <w:tblHeader/>
        </w:trPr>
        <w:tc>
          <w:tcPr>
            <w:tcW w:w="2340" w:type="dxa"/>
            <w:tcMar/>
            <w:vAlign w:val="center"/>
            <w:tcMar>
              <w:top w:w="70" w:type="dxa"/>
              <w:start w:w="90" w:type="dxa"/>
              <w:bottom w:w="70" w:type="dxa"/>
              <w:end w:w="90" w:type="dxa"/>
            </w:tcMar>
          </w:tcPr>
          <w:p w14:paraId="7667647F" wp14:textId="77777777">
            <w:pPr>
              <w:spacing w:after="0" w:line="240" w:lineRule="auto"/>
              <w:jc w:val="center"/>
            </w:pPr>
            <w:r>
              <w:rPr>
                <w:rFonts w:ascii="Times New Roman" w:hAnsi="Times New Roman" w:eastAsia="Times New Roman"/>
                <w:b/>
                <w:color w:val="000000"/>
                <w:sz w:val="24"/>
              </w:rPr>
              <w:t>Ratio</w:t>
            </w:r>
          </w:p>
        </w:tc>
        <w:tc>
          <w:tcPr>
            <w:tcW w:w="2340" w:type="dxa"/>
            <w:tcMar/>
            <w:vAlign w:val="center"/>
            <w:tcMar>
              <w:top w:w="70" w:type="dxa"/>
              <w:start w:w="90" w:type="dxa"/>
              <w:bottom w:w="70" w:type="dxa"/>
              <w:end w:w="90" w:type="dxa"/>
            </w:tcMar>
          </w:tcPr>
          <w:p w14:paraId="0ED958A7" wp14:textId="77777777">
            <w:pPr>
              <w:spacing w:after="0" w:line="240" w:lineRule="auto"/>
              <w:jc w:val="center"/>
            </w:pPr>
            <w:r>
              <w:rPr>
                <w:rFonts w:ascii="Times New Roman" w:hAnsi="Times New Roman" w:eastAsia="Times New Roman"/>
                <w:b/>
                <w:color w:val="000000"/>
                <w:sz w:val="24"/>
              </w:rPr>
              <w:t>Calculation</w:t>
            </w:r>
          </w:p>
        </w:tc>
        <w:tc>
          <w:tcPr>
            <w:tcW w:w="1200" w:type="dxa"/>
            <w:tcMar/>
            <w:vAlign w:val="center"/>
            <w:tcMar>
              <w:top w:w="70" w:type="dxa"/>
              <w:start w:w="90" w:type="dxa"/>
              <w:bottom w:w="70" w:type="dxa"/>
              <w:end w:w="90" w:type="dxa"/>
            </w:tcMar>
          </w:tcPr>
          <w:p w14:paraId="1C181D25" wp14:textId="77777777">
            <w:pPr>
              <w:spacing w:after="0" w:line="240" w:lineRule="auto"/>
              <w:jc w:val="center"/>
            </w:pPr>
            <w:r>
              <w:rPr>
                <w:rFonts w:ascii="Times New Roman" w:hAnsi="Times New Roman" w:eastAsia="Times New Roman"/>
                <w:b/>
                <w:color w:val="000000"/>
                <w:sz w:val="24"/>
              </w:rPr>
              <w:t>Result</w:t>
            </w:r>
          </w:p>
        </w:tc>
        <w:tc>
          <w:tcPr>
            <w:tcW w:w="3480" w:type="dxa"/>
            <w:tcMar/>
            <w:vAlign w:val="center"/>
            <w:tcMar>
              <w:top w:w="70" w:type="dxa"/>
              <w:start w:w="90" w:type="dxa"/>
              <w:bottom w:w="70" w:type="dxa"/>
              <w:end w:w="90" w:type="dxa"/>
            </w:tcMar>
          </w:tcPr>
          <w:p w14:paraId="4F2BBB04" wp14:textId="77777777">
            <w:pPr>
              <w:spacing w:after="0" w:line="240" w:lineRule="auto"/>
              <w:jc w:val="center"/>
            </w:pPr>
            <w:r>
              <w:rPr>
                <w:rFonts w:ascii="Times New Roman" w:hAnsi="Times New Roman" w:eastAsia="Times New Roman"/>
                <w:b/>
                <w:color w:val="000000"/>
                <w:sz w:val="24"/>
              </w:rPr>
              <w:t>Interpretation</w:t>
            </w:r>
          </w:p>
        </w:tc>
      </w:tr>
      <w:tr xmlns:wp14="http://schemas.microsoft.com/office/word/2010/wordml" w:rsidTr="73DA7CAF" w14:paraId="03DC5C32" wp14:textId="77777777">
        <w:tc>
          <w:tcPr>
            <w:tcW w:w="2340" w:type="dxa"/>
            <w:tcMar/>
            <w:vAlign w:val="center"/>
            <w:tcMar>
              <w:top w:w="70" w:type="dxa"/>
              <w:start w:w="90" w:type="dxa"/>
              <w:bottom w:w="70" w:type="dxa"/>
              <w:end w:w="90" w:type="dxa"/>
            </w:tcMar>
          </w:tcPr>
          <w:p w14:paraId="23B4D950" wp14:textId="77777777">
            <w:pPr>
              <w:spacing w:after="0" w:line="240" w:lineRule="auto"/>
              <w:jc w:val="left"/>
            </w:pPr>
            <w:r>
              <w:rPr>
                <w:rFonts w:ascii="Times New Roman" w:hAnsi="Times New Roman" w:eastAsia="Times New Roman"/>
                <w:color w:val="000000"/>
                <w:sz w:val="24"/>
              </w:rPr>
              <w:t>Current ratio</w:t>
            </w:r>
          </w:p>
        </w:tc>
        <w:tc>
          <w:tcPr>
            <w:tcW w:w="2340" w:type="dxa"/>
            <w:tcMar/>
            <w:vAlign w:val="center"/>
            <w:tcMar>
              <w:top w:w="70" w:type="dxa"/>
              <w:start w:w="90" w:type="dxa"/>
              <w:bottom w:w="70" w:type="dxa"/>
              <w:end w:w="90" w:type="dxa"/>
            </w:tcMar>
          </w:tcPr>
          <w:p w14:paraId="62398DA6" wp14:textId="77777777">
            <w:pPr>
              <w:spacing w:after="0" w:line="240" w:lineRule="auto"/>
              <w:jc w:val="center"/>
            </w:pPr>
            <w:r>
              <w:rPr>
                <w:rFonts w:ascii="Times New Roman" w:hAnsi="Times New Roman" w:eastAsia="Times New Roman"/>
                <w:color w:val="000000"/>
                <w:sz w:val="24"/>
              </w:rPr>
              <w:t>$18.797B / $13.649B</w:t>
            </w:r>
          </w:p>
        </w:tc>
        <w:tc>
          <w:tcPr>
            <w:tcW w:w="1200" w:type="dxa"/>
            <w:tcMar/>
            <w:vAlign w:val="center"/>
            <w:tcMar>
              <w:top w:w="70" w:type="dxa"/>
              <w:start w:w="90" w:type="dxa"/>
              <w:bottom w:w="70" w:type="dxa"/>
              <w:end w:w="90" w:type="dxa"/>
            </w:tcMar>
          </w:tcPr>
          <w:p w14:paraId="64957BA8" wp14:textId="77777777">
            <w:pPr>
              <w:spacing w:after="0" w:line="240" w:lineRule="auto"/>
              <w:jc w:val="center"/>
            </w:pPr>
            <w:r>
              <w:rPr>
                <w:rFonts w:ascii="Times New Roman" w:hAnsi="Times New Roman" w:eastAsia="Times New Roman"/>
                <w:color w:val="000000"/>
                <w:sz w:val="24"/>
              </w:rPr>
              <w:t>1.38</w:t>
            </w:r>
          </w:p>
        </w:tc>
        <w:tc>
          <w:tcPr>
            <w:tcW w:w="3480" w:type="dxa"/>
            <w:tcMar/>
            <w:vAlign w:val="center"/>
            <w:tcMar>
              <w:top w:w="70" w:type="dxa"/>
              <w:start w:w="90" w:type="dxa"/>
              <w:bottom w:w="70" w:type="dxa"/>
              <w:end w:w="90" w:type="dxa"/>
            </w:tcMar>
          </w:tcPr>
          <w:p w14:paraId="6DF65BC4" wp14:textId="77777777">
            <w:pPr>
              <w:spacing w:after="0" w:line="240" w:lineRule="auto"/>
              <w:jc w:val="left"/>
            </w:pPr>
            <w:r>
              <w:rPr>
                <w:rFonts w:ascii="Times New Roman" w:hAnsi="Times New Roman" w:eastAsia="Times New Roman"/>
                <w:color w:val="000000"/>
                <w:sz w:val="24"/>
              </w:rPr>
              <w:t>Current assets exceeded current liabilities.</w:t>
            </w:r>
          </w:p>
        </w:tc>
      </w:tr>
      <w:tr xmlns:wp14="http://schemas.microsoft.com/office/word/2010/wordml" w:rsidTr="73DA7CAF" w14:paraId="3D57D908" wp14:textId="77777777">
        <w:tc>
          <w:tcPr>
            <w:tcW w:w="2340" w:type="dxa"/>
            <w:tcMar/>
            <w:vAlign w:val="center"/>
            <w:tcMar>
              <w:top w:w="70" w:type="dxa"/>
              <w:start w:w="90" w:type="dxa"/>
              <w:bottom w:w="70" w:type="dxa"/>
              <w:end w:w="90" w:type="dxa"/>
            </w:tcMar>
          </w:tcPr>
          <w:p w14:paraId="7E404C13" wp14:textId="77777777">
            <w:pPr>
              <w:spacing w:after="0" w:line="240" w:lineRule="auto"/>
              <w:jc w:val="left"/>
            </w:pPr>
            <w:r>
              <w:rPr>
                <w:rFonts w:ascii="Times New Roman" w:hAnsi="Times New Roman" w:eastAsia="Times New Roman"/>
                <w:color w:val="000000"/>
                <w:sz w:val="24"/>
              </w:rPr>
              <w:t>Net profit margin</w:t>
            </w:r>
          </w:p>
        </w:tc>
        <w:tc>
          <w:tcPr>
            <w:tcW w:w="2340" w:type="dxa"/>
            <w:tcMar/>
            <w:vAlign w:val="center"/>
            <w:tcMar>
              <w:top w:w="70" w:type="dxa"/>
              <w:start w:w="90" w:type="dxa"/>
              <w:bottom w:w="70" w:type="dxa"/>
              <w:end w:w="90" w:type="dxa"/>
            </w:tcMar>
          </w:tcPr>
          <w:p w14:paraId="75983C03" wp14:textId="77777777">
            <w:pPr>
              <w:spacing w:after="0" w:line="240" w:lineRule="auto"/>
              <w:jc w:val="center"/>
            </w:pPr>
            <w:r>
              <w:rPr>
                <w:rFonts w:ascii="Times New Roman" w:hAnsi="Times New Roman" w:eastAsia="Times New Roman"/>
                <w:color w:val="000000"/>
                <w:sz w:val="24"/>
              </w:rPr>
              <w:t>$2.511B / $12.241B</w:t>
            </w:r>
          </w:p>
        </w:tc>
        <w:tc>
          <w:tcPr>
            <w:tcW w:w="1200" w:type="dxa"/>
            <w:tcMar/>
            <w:vAlign w:val="center"/>
            <w:tcMar>
              <w:top w:w="70" w:type="dxa"/>
              <w:start w:w="90" w:type="dxa"/>
              <w:bottom w:w="70" w:type="dxa"/>
              <w:end w:w="90" w:type="dxa"/>
            </w:tcMar>
          </w:tcPr>
          <w:p w14:paraId="6FD79CE6" wp14:textId="77777777">
            <w:pPr>
              <w:spacing w:after="0" w:line="240" w:lineRule="auto"/>
              <w:jc w:val="center"/>
            </w:pPr>
            <w:r>
              <w:rPr>
                <w:rFonts w:ascii="Times New Roman" w:hAnsi="Times New Roman" w:eastAsia="Times New Roman"/>
                <w:color w:val="000000"/>
                <w:sz w:val="24"/>
              </w:rPr>
              <w:t>20.5%</w:t>
            </w:r>
          </w:p>
        </w:tc>
        <w:tc>
          <w:tcPr>
            <w:tcW w:w="3480" w:type="dxa"/>
            <w:tcMar/>
            <w:vAlign w:val="center"/>
            <w:tcMar>
              <w:top w:w="70" w:type="dxa"/>
              <w:start w:w="90" w:type="dxa"/>
              <w:bottom w:w="70" w:type="dxa"/>
              <w:end w:w="90" w:type="dxa"/>
            </w:tcMar>
          </w:tcPr>
          <w:p w14:paraId="2BFE0D9E" wp14:textId="77777777">
            <w:pPr>
              <w:spacing w:after="0" w:line="240" w:lineRule="auto"/>
              <w:jc w:val="left"/>
            </w:pPr>
            <w:r>
              <w:rPr>
                <w:rFonts w:ascii="Times New Roman" w:hAnsi="Times New Roman" w:eastAsia="Times New Roman"/>
                <w:color w:val="000000"/>
                <w:sz w:val="24"/>
              </w:rPr>
              <w:t>The core business was profitable.</w:t>
            </w:r>
          </w:p>
        </w:tc>
      </w:tr>
      <w:tr xmlns:wp14="http://schemas.microsoft.com/office/word/2010/wordml" w:rsidTr="73DA7CAF" w14:paraId="2D87F6F4" wp14:textId="77777777">
        <w:tc>
          <w:tcPr>
            <w:tcW w:w="2340" w:type="dxa"/>
            <w:tcMar/>
            <w:vAlign w:val="center"/>
            <w:tcMar>
              <w:top w:w="70" w:type="dxa"/>
              <w:start w:w="90" w:type="dxa"/>
              <w:bottom w:w="70" w:type="dxa"/>
              <w:end w:w="90" w:type="dxa"/>
            </w:tcMar>
          </w:tcPr>
          <w:p w14:paraId="036EE462" wp14:textId="77777777">
            <w:pPr>
              <w:spacing w:after="0" w:line="240" w:lineRule="auto"/>
              <w:jc w:val="left"/>
            </w:pPr>
            <w:r>
              <w:rPr>
                <w:rFonts w:ascii="Times New Roman" w:hAnsi="Times New Roman" w:eastAsia="Times New Roman"/>
                <w:color w:val="000000"/>
                <w:sz w:val="24"/>
              </w:rPr>
              <w:t>Debt-to-equity</w:t>
            </w:r>
          </w:p>
        </w:tc>
        <w:tc>
          <w:tcPr>
            <w:tcW w:w="2340" w:type="dxa"/>
            <w:tcMar/>
            <w:vAlign w:val="center"/>
            <w:tcMar>
              <w:top w:w="70" w:type="dxa"/>
              <w:start w:w="90" w:type="dxa"/>
              <w:bottom w:w="70" w:type="dxa"/>
              <w:end w:w="90" w:type="dxa"/>
            </w:tcMar>
          </w:tcPr>
          <w:p w14:paraId="4663408A" wp14:textId="77777777">
            <w:pPr>
              <w:spacing w:after="0" w:line="240" w:lineRule="auto"/>
              <w:jc w:val="center"/>
            </w:pPr>
            <w:r>
              <w:rPr>
                <w:rFonts w:ascii="Times New Roman" w:hAnsi="Times New Roman" w:eastAsia="Times New Roman"/>
                <w:color w:val="000000"/>
                <w:sz w:val="24"/>
              </w:rPr>
              <w:t>$1.999B / $8.199B</w:t>
            </w:r>
          </w:p>
        </w:tc>
        <w:tc>
          <w:tcPr>
            <w:tcW w:w="1200" w:type="dxa"/>
            <w:tcMar/>
            <w:vAlign w:val="center"/>
            <w:tcMar>
              <w:top w:w="70" w:type="dxa"/>
              <w:start w:w="90" w:type="dxa"/>
              <w:bottom w:w="70" w:type="dxa"/>
              <w:end w:w="90" w:type="dxa"/>
            </w:tcMar>
          </w:tcPr>
          <w:p w14:paraId="74BD31EF" wp14:textId="77777777">
            <w:pPr>
              <w:spacing w:after="0" w:line="240" w:lineRule="auto"/>
              <w:jc w:val="center"/>
            </w:pPr>
            <w:r>
              <w:rPr>
                <w:rFonts w:ascii="Times New Roman" w:hAnsi="Times New Roman" w:eastAsia="Times New Roman"/>
                <w:color w:val="000000"/>
                <w:sz w:val="24"/>
              </w:rPr>
              <w:t>0.24</w:t>
            </w:r>
          </w:p>
        </w:tc>
        <w:tc>
          <w:tcPr>
            <w:tcW w:w="3480" w:type="dxa"/>
            <w:tcMar/>
            <w:vAlign w:val="center"/>
            <w:tcMar>
              <w:top w:w="70" w:type="dxa"/>
              <w:start w:w="90" w:type="dxa"/>
              <w:bottom w:w="70" w:type="dxa"/>
              <w:end w:w="90" w:type="dxa"/>
            </w:tcMar>
          </w:tcPr>
          <w:p w14:paraId="251F8CFA" wp14:textId="77777777">
            <w:pPr>
              <w:spacing w:after="0" w:line="240" w:lineRule="auto"/>
              <w:jc w:val="left"/>
            </w:pPr>
            <w:r>
              <w:rPr>
                <w:rFonts w:ascii="Times New Roman" w:hAnsi="Times New Roman" w:eastAsia="Times New Roman"/>
                <w:color w:val="000000"/>
                <w:sz w:val="24"/>
              </w:rPr>
              <w:t>Interest-bearing debt was modest relative to equity.</w:t>
            </w:r>
          </w:p>
        </w:tc>
      </w:tr>
      <w:tr xmlns:wp14="http://schemas.microsoft.com/office/word/2010/wordml" w:rsidTr="73DA7CAF" w14:paraId="7FEF25DC" wp14:textId="77777777">
        <w:tc>
          <w:tcPr>
            <w:tcW w:w="2340" w:type="dxa"/>
            <w:tcMar/>
            <w:vAlign w:val="center"/>
            <w:tcMar>
              <w:top w:w="70" w:type="dxa"/>
              <w:start w:w="90" w:type="dxa"/>
              <w:bottom w:w="70" w:type="dxa"/>
              <w:end w:w="90" w:type="dxa"/>
            </w:tcMar>
          </w:tcPr>
          <w:p w14:paraId="17BFCA9A" wp14:textId="77777777">
            <w:pPr>
              <w:spacing w:after="0" w:line="240" w:lineRule="auto"/>
              <w:jc w:val="left"/>
            </w:pPr>
            <w:r>
              <w:rPr>
                <w:rFonts w:ascii="Times New Roman" w:hAnsi="Times New Roman" w:eastAsia="Times New Roman"/>
                <w:color w:val="000000"/>
                <w:sz w:val="24"/>
              </w:rPr>
              <w:t>Liabilities-to-equity</w:t>
            </w:r>
          </w:p>
        </w:tc>
        <w:tc>
          <w:tcPr>
            <w:tcW w:w="2340" w:type="dxa"/>
            <w:tcMar/>
            <w:vAlign w:val="center"/>
            <w:tcMar>
              <w:top w:w="70" w:type="dxa"/>
              <w:start w:w="90" w:type="dxa"/>
              <w:bottom w:w="70" w:type="dxa"/>
              <w:end w:w="90" w:type="dxa"/>
            </w:tcMar>
          </w:tcPr>
          <w:p w14:paraId="254365CC" wp14:textId="77777777">
            <w:pPr>
              <w:spacing w:after="0" w:line="240" w:lineRule="auto"/>
              <w:jc w:val="center"/>
            </w:pPr>
            <w:r>
              <w:rPr>
                <w:rFonts w:ascii="Times New Roman" w:hAnsi="Times New Roman" w:eastAsia="Times New Roman"/>
                <w:color w:val="000000"/>
                <w:sz w:val="24"/>
              </w:rPr>
              <w:t>$14.009B / $8.199B</w:t>
            </w:r>
          </w:p>
        </w:tc>
        <w:tc>
          <w:tcPr>
            <w:tcW w:w="1200" w:type="dxa"/>
            <w:tcMar/>
            <w:vAlign w:val="center"/>
            <w:tcMar>
              <w:top w:w="70" w:type="dxa"/>
              <w:start w:w="90" w:type="dxa"/>
              <w:bottom w:w="70" w:type="dxa"/>
              <w:end w:w="90" w:type="dxa"/>
            </w:tcMar>
          </w:tcPr>
          <w:p w14:paraId="2C4CEFDF" wp14:textId="77777777">
            <w:pPr>
              <w:spacing w:after="0" w:line="240" w:lineRule="auto"/>
              <w:jc w:val="center"/>
            </w:pPr>
            <w:r>
              <w:rPr>
                <w:rFonts w:ascii="Times New Roman" w:hAnsi="Times New Roman" w:eastAsia="Times New Roman"/>
                <w:color w:val="000000"/>
                <w:sz w:val="24"/>
              </w:rPr>
              <w:t>1.71</w:t>
            </w:r>
          </w:p>
        </w:tc>
        <w:tc>
          <w:tcPr>
            <w:tcW w:w="3480" w:type="dxa"/>
            <w:tcMar/>
            <w:vAlign w:val="center"/>
            <w:tcMar>
              <w:top w:w="70" w:type="dxa"/>
              <w:start w:w="90" w:type="dxa"/>
              <w:bottom w:w="70" w:type="dxa"/>
              <w:end w:w="90" w:type="dxa"/>
            </w:tcMar>
          </w:tcPr>
          <w:p w14:paraId="1E3E7FC8" wp14:textId="77777777">
            <w:pPr>
              <w:spacing w:after="0" w:line="240" w:lineRule="auto"/>
              <w:jc w:val="left"/>
            </w:pPr>
            <w:r>
              <w:rPr>
                <w:rFonts w:ascii="Times New Roman" w:hAnsi="Times New Roman" w:eastAsia="Times New Roman"/>
                <w:color w:val="000000"/>
                <w:sz w:val="24"/>
              </w:rPr>
              <w:t>Total liabilities exceeded equity, including customer-related balances.</w:t>
            </w:r>
          </w:p>
        </w:tc>
      </w:tr>
    </w:tbl>
    <w:p xmlns:wp14="http://schemas.microsoft.com/office/word/2010/wordml" w14:paraId="3353D071" wp14:textId="77777777">
      <w:pPr>
        <w:spacing w:before="0" w:after="0" w:line="240" w:lineRule="auto"/>
      </w:pPr>
      <w:r>
        <w:rPr>
          <w:rFonts w:ascii="Times New Roman" w:hAnsi="Times New Roman" w:eastAsia="Times New Roman"/>
          <w:color w:val="000000"/>
          <w:sz w:val="24"/>
        </w:rPr>
        <w:t>Note. Calculated from Airbnb, Inc. (2026). The 1.71 figure is liabilities-to-equity, not debt-to-equity.</w:t>
      </w:r>
    </w:p>
    <w:p xmlns:wp14="http://schemas.microsoft.com/office/word/2010/wordml" w14:paraId="21EEAC64" wp14:textId="77777777">
      <w:pPr>
        <w:spacing w:before="0" w:after="0" w:line="480" w:lineRule="auto"/>
        <w:ind w:firstLine="720"/>
        <w:jc w:val="left"/>
      </w:pPr>
      <w:r>
        <w:rPr>
          <w:rFonts w:ascii="Times New Roman" w:hAnsi="Times New Roman" w:eastAsia="Times New Roman"/>
          <w:color w:val="000000"/>
          <w:sz w:val="24"/>
        </w:rPr>
        <w:t>Airbnb's value chain runs from host onboarding through search, booking, payment, safety, support, and retention. Its strategy differentiates through variety, space, flexibility, and location. The proposed network adds a more dependable longer-stay product and improves the handoff from the digital promise to the physical stay without replacing the marketplace model.</w:t>
      </w:r>
    </w:p>
    <w:p xmlns:wp14="http://schemas.microsoft.com/office/word/2010/wordml" w14:paraId="41C8F396" wp14:textId="77777777">
      <w:r>
        <w:br w:type="page"/>
      </w:r>
    </w:p>
    <w:p xmlns:wp14="http://schemas.microsoft.com/office/word/2010/wordml" w14:paraId="5689EC4E" wp14:textId="77777777">
      <w:pPr>
        <w:keepNext/>
        <w:spacing w:before="0" w:after="0" w:line="480" w:lineRule="auto"/>
        <w:jc w:val="center"/>
      </w:pPr>
      <w:r>
        <w:rPr>
          <w:rFonts w:ascii="Times New Roman" w:hAnsi="Times New Roman" w:eastAsia="Times New Roman"/>
          <w:b/>
          <w:color w:val="000000"/>
          <w:sz w:val="24"/>
        </w:rPr>
        <w:t>Section II External Situation Analysis</w:t>
      </w:r>
    </w:p>
    <w:p xmlns:wp14="http://schemas.microsoft.com/office/word/2010/wordml" w14:paraId="27718101" wp14:textId="77777777">
      <w:pPr>
        <w:keepNext/>
        <w:spacing w:before="0" w:after="0" w:line="480" w:lineRule="auto"/>
        <w:jc w:val="left"/>
      </w:pPr>
      <w:r>
        <w:rPr>
          <w:rFonts w:ascii="Times New Roman" w:hAnsi="Times New Roman" w:eastAsia="Times New Roman"/>
          <w:b/>
          <w:color w:val="000000"/>
          <w:sz w:val="24"/>
        </w:rPr>
        <w:t>PESTEL Assessment</w:t>
      </w:r>
    </w:p>
    <w:p xmlns:wp14="http://schemas.microsoft.com/office/word/2010/wordml" w14:paraId="4B32233E" wp14:textId="77777777">
      <w:pPr>
        <w:spacing w:before="0" w:after="0" w:line="480" w:lineRule="auto"/>
        <w:ind w:firstLine="720"/>
        <w:jc w:val="left"/>
      </w:pPr>
      <w:r>
        <w:rPr>
          <w:rFonts w:ascii="Times New Roman" w:hAnsi="Times New Roman" w:eastAsia="Times New Roman"/>
          <w:color w:val="000000"/>
          <w:sz w:val="24"/>
        </w:rPr>
        <w:t>Political and legal forces create the most immediate constraint on Airbnb. Local rules may require registration, primary-residence status, permits, taxes, data sharing, or limits on rental nights. Airbnb's 2025 Form 10-K identifies an evolving set of laws affecting short-term and long-term rentals (Airbnb, Inc., 2026). Longer stays may fall under different tenancy and licensing rules, so each pilot market needs written legal approval.</w:t>
      </w:r>
    </w:p>
    <w:p xmlns:wp14="http://schemas.microsoft.com/office/word/2010/wordml" w14:paraId="681916D5" wp14:textId="77777777">
      <w:pPr>
        <w:spacing w:before="0" w:after="0" w:line="480" w:lineRule="auto"/>
        <w:ind w:firstLine="720"/>
        <w:jc w:val="left"/>
      </w:pPr>
      <w:r>
        <w:rPr>
          <w:rFonts w:ascii="Times New Roman" w:hAnsi="Times New Roman" w:eastAsia="Times New Roman"/>
          <w:color w:val="000000"/>
          <w:sz w:val="24"/>
        </w:rPr>
        <w:t>Economic conditions influence travel budgets, housing costs, and host participation. A slowing economy can reduce leisure travel, while employers still need temporary housing for relocations and projects. Social demand favors flexible accommodations with kitchens, laundry, and additional space. Community opposition remains serious when residents believe rentals reduce housing supply. Research shows that regulatory effects vary with local housing and tourism conditions (Bei &amp; Celata, 2023).</w:t>
      </w:r>
    </w:p>
    <w:p xmlns:wp14="http://schemas.microsoft.com/office/word/2010/wordml" w14:paraId="1D146B8B" wp14:textId="77777777">
      <w:pPr>
        <w:spacing w:before="0" w:after="0" w:line="480" w:lineRule="auto"/>
        <w:ind w:firstLine="720"/>
        <w:jc w:val="left"/>
      </w:pPr>
      <w:r>
        <w:rPr>
          <w:rFonts w:ascii="Times New Roman" w:hAnsi="Times New Roman" w:eastAsia="Times New Roman"/>
          <w:color w:val="000000"/>
          <w:sz w:val="24"/>
        </w:rPr>
        <w:t>Technology supports search, recurring payments, fraud detection, identity verification, maintenance tracking, and partner scorecards, but it also creates privacy and cybersecurity obligations. Environmental effects are mixed. Longer stays may reduce repeated turnovers, yet travel and property operations still consume energy and generate waste. The PESTEL result supports a selective, compliance-led pilot in markets with measurable demand, qualified partners, and workable law.</w:t>
      </w:r>
    </w:p>
    <w:p xmlns:wp14="http://schemas.microsoft.com/office/word/2010/wordml" w14:paraId="72A3D3EC" wp14:textId="77777777">
      <w:r>
        <w:br w:type="page"/>
      </w:r>
    </w:p>
    <w:p xmlns:wp14="http://schemas.microsoft.com/office/word/2010/wordml" w14:paraId="1A65F887" wp14:textId="77777777">
      <w:pPr>
        <w:keepNext/>
        <w:spacing w:before="0" w:after="0" w:line="480" w:lineRule="auto"/>
        <w:jc w:val="center"/>
      </w:pPr>
      <w:r>
        <w:rPr>
          <w:rFonts w:ascii="Times New Roman" w:hAnsi="Times New Roman" w:eastAsia="Times New Roman"/>
          <w:b/>
          <w:color w:val="000000"/>
          <w:sz w:val="24"/>
        </w:rPr>
        <w:t>Industry Competition Globalization and CAGE</w:t>
      </w:r>
    </w:p>
    <w:p xmlns:wp14="http://schemas.microsoft.com/office/word/2010/wordml" w14:paraId="1E282949" wp14:textId="572F0183">
      <w:pPr>
        <w:spacing w:before="0" w:after="0" w:line="480" w:lineRule="auto"/>
        <w:ind w:firstLine="720"/>
        <w:jc w:val="left"/>
      </w:pPr>
      <w:r w:rsidRPr="73DA7CAF" w:rsidR="73DA7CAF">
        <w:rPr>
          <w:rFonts w:ascii="Times New Roman" w:hAnsi="Times New Roman" w:eastAsia="Times New Roman"/>
          <w:color w:val="000000" w:themeColor="text1" w:themeTint="FF" w:themeShade="FF"/>
          <w:sz w:val="24"/>
          <w:szCs w:val="24"/>
        </w:rPr>
        <w:t xml:space="preserve">Rivalry in online accommodations is high. Guests can compare Airbnb with Booking.com, Vrbo, Expedia, corporate housing providers, </w:t>
      </w:r>
      <w:r w:rsidRPr="73DA7CAF" w:rsidR="73DA7CAF">
        <w:rPr>
          <w:rFonts w:ascii="Times New Roman" w:hAnsi="Times New Roman" w:eastAsia="Times New Roman"/>
          <w:color w:val="000000" w:themeColor="text1" w:themeTint="FF" w:themeShade="FF"/>
          <w:sz w:val="24"/>
          <w:szCs w:val="24"/>
        </w:rPr>
        <w:t>furnished apartment</w:t>
      </w:r>
      <w:r w:rsidRPr="73DA7CAF" w:rsidR="73DA7CAF">
        <w:rPr>
          <w:rFonts w:ascii="Times New Roman" w:hAnsi="Times New Roman" w:eastAsia="Times New Roman"/>
          <w:color w:val="000000" w:themeColor="text1" w:themeTint="FF" w:themeShade="FF"/>
          <w:sz w:val="24"/>
          <w:szCs w:val="24"/>
        </w:rPr>
        <w:t xml:space="preserve"> operators, and hotel chains. Switching costs are low, and search results make price differences visible. Buyer power is therefore high. Supplier power is moderate to high because desirable hosts can list through several channels or contract directly with corporate clients. New digital marketplaces can enter, but matching Airbnb's brand, liquidity, reviews, payment infrastructure, and global demand would require substantial time and marketing. Substitutes </w:t>
      </w:r>
      <w:r w:rsidRPr="73DA7CAF" w:rsidR="73DA7CAF">
        <w:rPr>
          <w:rFonts w:ascii="Times New Roman" w:hAnsi="Times New Roman" w:eastAsia="Times New Roman"/>
          <w:color w:val="000000" w:themeColor="text1" w:themeTint="FF" w:themeShade="FF"/>
          <w:sz w:val="24"/>
          <w:szCs w:val="24"/>
        </w:rPr>
        <w:t>remain</w:t>
      </w:r>
      <w:r w:rsidRPr="73DA7CAF" w:rsidR="73DA7CAF">
        <w:rPr>
          <w:rFonts w:ascii="Times New Roman" w:hAnsi="Times New Roman" w:eastAsia="Times New Roman"/>
          <w:color w:val="000000" w:themeColor="text1" w:themeTint="FF" w:themeShade="FF"/>
          <w:sz w:val="24"/>
          <w:szCs w:val="24"/>
        </w:rPr>
        <w:t xml:space="preserve"> strong because hotels offer consistent service, loyalty programs, and </w:t>
      </w:r>
      <w:r w:rsidRPr="73DA7CAF" w:rsidR="73DA7CAF">
        <w:rPr>
          <w:rFonts w:ascii="Times New Roman" w:hAnsi="Times New Roman" w:eastAsia="Times New Roman"/>
          <w:color w:val="000000" w:themeColor="text1" w:themeTint="FF" w:themeShade="FF"/>
          <w:sz w:val="24"/>
          <w:szCs w:val="24"/>
        </w:rPr>
        <w:t>established</w:t>
      </w:r>
      <w:r w:rsidRPr="73DA7CAF" w:rsidR="73DA7CAF">
        <w:rPr>
          <w:rFonts w:ascii="Times New Roman" w:hAnsi="Times New Roman" w:eastAsia="Times New Roman"/>
          <w:color w:val="000000" w:themeColor="text1" w:themeTint="FF" w:themeShade="FF"/>
          <w:sz w:val="24"/>
          <w:szCs w:val="24"/>
        </w:rPr>
        <w:t xml:space="preserve"> corporate travel relationships.</w:t>
      </w:r>
    </w:p>
    <w:p xmlns:wp14="http://schemas.microsoft.com/office/word/2010/wordml" w14:paraId="1EBE90E2" wp14:textId="77777777">
      <w:pPr>
        <w:spacing w:before="0" w:after="0" w:line="480" w:lineRule="auto"/>
        <w:ind w:firstLine="720"/>
        <w:jc w:val="left"/>
      </w:pPr>
      <w:r w:rsidRPr="73DA7CAF" w:rsidR="73DA7CAF">
        <w:rPr>
          <w:rFonts w:ascii="Times New Roman" w:hAnsi="Times New Roman" w:eastAsia="Times New Roman"/>
          <w:color w:val="000000" w:themeColor="text1" w:themeTint="FF" w:themeShade="FF"/>
          <w:sz w:val="24"/>
          <w:szCs w:val="24"/>
        </w:rPr>
        <w:t xml:space="preserve">These forces explain why a generic increase in listings is not enough. Airbnb needs inventory that is difficult to compare solely on nightly price. Professionally managed mid-term housing can compete through space, flexible duration, neighborhood access, and standardized service. It also addresses a segment where Airbnb historically placed less pressure on business-oriented hotels than on lower-priced leisure properties (Dogru </w:t>
      </w:r>
      <w:sdt>
        <w:sdtPr>
          <w:id w:val="16497377"/>
          <w15:appearance w15:val="hidden"/>
          <w:tag w:val="tii-similarity-SU5URVJORVRfaXJpcy5wb2xpdG8uaXQ="/>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et al., 2019; Zervas et al., 2017</w:t>
          </w:r>
        </w:sdtContent>
      </w:sdt>
      <w:r w:rsidRPr="73DA7CAF" w:rsidR="73DA7CAF">
        <w:rPr>
          <w:rFonts w:ascii="Times New Roman" w:hAnsi="Times New Roman" w:eastAsia="Times New Roman"/>
          <w:color w:val="000000" w:themeColor="text1" w:themeTint="FF" w:themeShade="FF"/>
          <w:sz w:val="24"/>
          <w:szCs w:val="24"/>
        </w:rPr>
        <w:t>). Winning this segment requires dependable invoicing, cancellation terms, maintenance response, and duty-of-care information for employers.</w:t>
      </w:r>
    </w:p>
    <w:p xmlns:wp14="http://schemas.microsoft.com/office/word/2010/wordml" w14:paraId="4DFDD112" wp14:textId="77777777">
      <w:pPr>
        <w:spacing w:before="0" w:after="0" w:line="480" w:lineRule="auto"/>
        <w:ind w:firstLine="720"/>
        <w:jc w:val="left"/>
      </w:pPr>
      <w:r>
        <w:rPr>
          <w:rFonts w:ascii="Times New Roman" w:hAnsi="Times New Roman" w:eastAsia="Times New Roman"/>
          <w:color w:val="000000"/>
          <w:sz w:val="24"/>
        </w:rPr>
        <w:t>Global demand for relocation, education, project work, and temporary housing favors a shared product platform, but government rules remain local. The CAGE framework explains why rollout cannot be uniform. Cultural distance changes service expectations; administrative distance changes licensing and tenant protection; geographic distance affects support; and economic distance changes price points and operating costs. Airbnb should use a common product architecture with local contracts and compliance rules.</w:t>
      </w:r>
    </w:p>
    <w:p xmlns:wp14="http://schemas.microsoft.com/office/word/2010/wordml" w14:paraId="0D0B940D" wp14:textId="77777777">
      <w:r>
        <w:br w:type="page"/>
      </w:r>
    </w:p>
    <w:p xmlns:wp14="http://schemas.microsoft.com/office/word/2010/wordml" w14:paraId="6C553EAF" wp14:textId="77777777">
      <w:pPr>
        <w:keepNext/>
        <w:spacing w:before="0" w:after="0" w:line="480" w:lineRule="auto"/>
        <w:jc w:val="center"/>
      </w:pPr>
      <w:r>
        <w:rPr>
          <w:rFonts w:ascii="Times New Roman" w:hAnsi="Times New Roman" w:eastAsia="Times New Roman"/>
          <w:b/>
          <w:color w:val="000000"/>
          <w:sz w:val="24"/>
        </w:rPr>
        <w:t>Section III Situational Diagnostics and Recommended Strategic Action</w:t>
      </w:r>
    </w:p>
    <w:p xmlns:wp14="http://schemas.microsoft.com/office/word/2010/wordml" w14:paraId="3A7AAE15" wp14:textId="77777777">
      <w:pPr>
        <w:keepNext/>
        <w:spacing w:before="0" w:after="0" w:line="480" w:lineRule="auto"/>
        <w:jc w:val="left"/>
      </w:pPr>
      <w:r>
        <w:rPr>
          <w:rFonts w:ascii="Times New Roman" w:hAnsi="Times New Roman" w:eastAsia="Times New Roman"/>
          <w:b/>
          <w:color w:val="000000"/>
          <w:sz w:val="24"/>
        </w:rPr>
        <w:t>BCG and Financial Diagnosis</w:t>
      </w:r>
    </w:p>
    <w:p xmlns:wp14="http://schemas.microsoft.com/office/word/2010/wordml" w14:paraId="7AE9A778" wp14:textId="77777777">
      <w:pPr>
        <w:spacing w:before="0" w:after="0" w:line="480" w:lineRule="auto"/>
        <w:ind w:firstLine="720"/>
        <w:jc w:val="left"/>
      </w:pPr>
      <w:sdt>
        <w:sdtPr>
          <w:id w:val="1848436093"/>
          <w15:appearance w15:val="hidden"/>
          <w:tag w:val="tii-similarity-U1VCTUlUVEVEX1dPUktfb2lkOjI6ODU4Mzg3MzI2"/>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The BCG Matrix classifies business</w:t>
          </w:r>
        </w:sdtContent>
      </w:sdt>
      <w:r w:rsidRPr="73DA7CAF" w:rsidR="73DA7CAF">
        <w:rPr>
          <w:rFonts w:ascii="Times New Roman" w:hAnsi="Times New Roman" w:eastAsia="Times New Roman"/>
          <w:color w:val="000000" w:themeColor="text1" w:themeTint="FF" w:themeShade="FF"/>
          <w:sz w:val="24"/>
          <w:szCs w:val="24"/>
        </w:rPr>
        <w:t xml:space="preserve"> units </w:t>
      </w:r>
      <w:sdt>
        <w:sdtPr>
          <w:id w:val="1877716103"/>
          <w15:appearance w15:val="hidden"/>
          <w:tag w:val="tii-similarity-U1VCTUlUVEVEX1dPUktfb2lkOjI6ODU4Mzg3MzI2"/>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according to relative market</w:t>
          </w:r>
        </w:sdtContent>
      </w:sdt>
      <w:r w:rsidRPr="73DA7CAF" w:rsidR="73DA7CAF">
        <w:rPr>
          <w:rFonts w:ascii="Times New Roman" w:hAnsi="Times New Roman" w:eastAsia="Times New Roman"/>
          <w:color w:val="000000" w:themeColor="text1" w:themeTint="FF" w:themeShade="FF"/>
          <w:sz w:val="24"/>
          <w:szCs w:val="24"/>
        </w:rPr>
        <w:t xml:space="preserve"> position </w:t>
      </w:r>
      <w:sdt>
        <w:sdtPr>
          <w:id w:val="593792856"/>
          <w15:appearance w15:val="hidden"/>
          <w:tag w:val="tii-similarity-U1VCTUlUVEVEX1dPUktfb2lkOjI6ODU4Mzg3MzI2"/>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and market growth</w:t>
          </w:r>
        </w:sdtContent>
      </w:sdt>
      <w:r w:rsidRPr="73DA7CAF" w:rsidR="73DA7CAF">
        <w:rPr>
          <w:rFonts w:ascii="Times New Roman" w:hAnsi="Times New Roman" w:eastAsia="Times New Roman"/>
          <w:color w:val="000000" w:themeColor="text1" w:themeTint="FF" w:themeShade="FF"/>
          <w:sz w:val="24"/>
          <w:szCs w:val="24"/>
        </w:rPr>
        <w:t xml:space="preserve">. Airbnb's core accommodation marketplace most closely resembles a Cash Cow (Grant, 2022). It is established, globally recognized, profitable, and capable of producing cash that can support adjacent growth. The label is an analytical judgment rather than a precise market-share calculation because the relevant market can be defined as short-term rentals, alternative accommodations, or the broader lodging industry. The financial evidence supports the central point: Airbnb generated $12.241 billion in 2025 revenue and approximately $4.6 </w:t>
      </w:r>
      <w:sdt>
        <w:sdtPr>
          <w:id w:val="90674834"/>
          <w15:appearance w15:val="hidden"/>
          <w:tag w:val="tii-similarity-U1VCTUlUVEVEX1dPUktfb2lkOjI6ODQ1Mjg1NTYy"/>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billion in free cash flow (Airbnb</w:t>
          </w:r>
        </w:sdtContent>
      </w:sdt>
      <w:r w:rsidRPr="73DA7CAF" w:rsidR="73DA7CAF">
        <w:rPr>
          <w:rFonts w:ascii="Times New Roman" w:hAnsi="Times New Roman" w:eastAsia="Times New Roman"/>
          <w:color w:val="000000" w:themeColor="text1" w:themeTint="FF" w:themeShade="FF"/>
          <w:sz w:val="24"/>
          <w:szCs w:val="24"/>
        </w:rPr>
        <w:t>, Inc., 2026).</w:t>
      </w:r>
    </w:p>
    <w:p xmlns:wp14="http://schemas.microsoft.com/office/word/2010/wordml" w14:paraId="0B102BE4" wp14:textId="77777777">
      <w:pPr>
        <w:spacing w:before="0" w:after="0" w:line="480" w:lineRule="auto"/>
        <w:ind w:firstLine="720"/>
        <w:jc w:val="left"/>
      </w:pPr>
      <w:r>
        <w:rPr>
          <w:rFonts w:ascii="Times New Roman" w:hAnsi="Times New Roman" w:eastAsia="Times New Roman"/>
          <w:color w:val="000000"/>
          <w:sz w:val="24"/>
        </w:rPr>
        <w:t>A Cash Cow should be protected, not treated as a source of unlimited funds. Airbnb must continue investing in search, payments, customer support, trust, safety, and host quality. The BCG result argues against an expensive diversification that would distract from the platform. It favors a related initiative that uses existing demand, technology, and brand while testing a new source of booking volume. Mid-term corporate housing meets that condition because it extends the duration and use case of the existing accommodation product.</w:t>
      </w:r>
    </w:p>
    <w:p xmlns:wp14="http://schemas.microsoft.com/office/word/2010/wordml" w14:paraId="0FF1E60D" wp14:textId="77777777">
      <w:pPr>
        <w:spacing w:before="0" w:after="0" w:line="480" w:lineRule="auto"/>
        <w:ind w:firstLine="720"/>
        <w:jc w:val="left"/>
      </w:pPr>
      <w:r>
        <w:rPr>
          <w:rFonts w:ascii="Times New Roman" w:hAnsi="Times New Roman" w:eastAsia="Times New Roman"/>
          <w:color w:val="000000"/>
          <w:sz w:val="24"/>
        </w:rPr>
        <w:t>The ratio analysis sets boundaries for the decision. Airbnb's 1.38 current ratio and corrected 0.24 debt-to-equity ratio support a pilot funded from operations. Management should still evaluate the program on its own contribution because corporate sales, partner onboarding, and compliance add costs that ordinary bookings may not require.</w:t>
      </w:r>
    </w:p>
    <w:p xmlns:wp14="http://schemas.microsoft.com/office/word/2010/wordml" w14:paraId="0E27B00A" wp14:textId="77777777">
      <w:r>
        <w:br w:type="page"/>
      </w:r>
    </w:p>
    <w:p xmlns:wp14="http://schemas.microsoft.com/office/word/2010/wordml" w14:paraId="365E46BC" wp14:textId="77777777">
      <w:pPr>
        <w:keepNext/>
        <w:spacing w:before="0" w:after="0" w:line="480" w:lineRule="auto"/>
        <w:jc w:val="center"/>
      </w:pPr>
      <w:r>
        <w:rPr>
          <w:rFonts w:ascii="Times New Roman" w:hAnsi="Times New Roman" w:eastAsia="Times New Roman"/>
          <w:b/>
          <w:color w:val="000000"/>
          <w:sz w:val="24"/>
        </w:rPr>
        <w:t>Expanded SWOT Analysis</w:t>
      </w:r>
    </w:p>
    <w:p xmlns:wp14="http://schemas.microsoft.com/office/word/2010/wordml" w14:paraId="4AD8B073" wp14:textId="77777777">
      <w:pPr>
        <w:spacing w:before="0" w:after="0" w:line="480" w:lineRule="auto"/>
        <w:ind w:firstLine="720"/>
        <w:jc w:val="left"/>
      </w:pPr>
      <w:r>
        <w:rPr>
          <w:rFonts w:ascii="Times New Roman" w:hAnsi="Times New Roman" w:eastAsia="Times New Roman"/>
          <w:color w:val="000000"/>
          <w:sz w:val="24"/>
        </w:rPr>
        <w:t>The expanded SWOT analysis moves beyond listing factors and identifies their strategic consequences. Each item below connects directly to a design choice in the proposed program.</w:t>
      </w:r>
    </w:p>
    <w:p xmlns:wp14="http://schemas.microsoft.com/office/word/2010/wordml" w14:paraId="61A674F2" wp14:textId="77777777">
      <w:pPr>
        <w:keepNext/>
        <w:spacing w:before="0" w:after="0" w:line="480" w:lineRule="auto"/>
      </w:pPr>
      <w:r>
        <w:rPr>
          <w:rFonts w:ascii="Times New Roman" w:hAnsi="Times New Roman" w:eastAsia="Times New Roman"/>
          <w:b/>
          <w:color w:val="000000"/>
          <w:sz w:val="24"/>
        </w:rPr>
        <w:t>Table 2</w:t>
      </w:r>
      <w:r>
        <w:rPr>
          <w:rFonts w:ascii="Times New Roman" w:hAnsi="Times New Roman" w:eastAsia="Times New Roman"/>
          <w:b/>
          <w:color w:val="000000"/>
          <w:sz w:val="24"/>
        </w:rPr>
        <w:br/>
      </w:r>
      <w:r>
        <w:rPr>
          <w:rFonts w:ascii="Times New Roman" w:hAnsi="Times New Roman" w:eastAsia="Times New Roman"/>
          <w:i/>
          <w:color w:val="000000"/>
          <w:sz w:val="24"/>
        </w:rPr>
        <w:t>SWOT Analysis and Strategic Implications</w:t>
      </w:r>
    </w:p>
    <w:tbl>
      <w:tblPr>
        <w:tblW w:w="9360" w:type="dxa"/>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autofit"/>
        <w:tblLook w:val="04A0" w:firstRow="1" w:lastRow="0" w:firstColumn="1" w:lastColumn="0" w:noHBand="0" w:noVBand="1"/>
      </w:tblPr>
      <w:tblGrid>
        <w:gridCol w:w="1755"/>
        <w:gridCol w:w="4140"/>
        <w:gridCol w:w="3465"/>
      </w:tblGrid>
      <w:tr xmlns:wp14="http://schemas.microsoft.com/office/word/2010/wordml" w:rsidTr="73DA7CAF" w14:paraId="1AE3C736" wp14:textId="77777777">
        <w:trPr>
          <w:tblHeader/>
        </w:trPr>
        <w:tc>
          <w:tcPr>
            <w:tcW w:w="1755" w:type="dxa"/>
            <w:tcMar/>
            <w:vAlign w:val="center"/>
            <w:tcMar>
              <w:top w:w="70" w:type="dxa"/>
              <w:start w:w="90" w:type="dxa"/>
              <w:bottom w:w="70" w:type="dxa"/>
              <w:end w:w="90" w:type="dxa"/>
            </w:tcMar>
          </w:tcPr>
          <w:p w14:paraId="04230D3D" wp14:textId="77777777">
            <w:pPr>
              <w:spacing w:after="0" w:line="240" w:lineRule="auto"/>
              <w:jc w:val="center"/>
            </w:pPr>
            <w:r>
              <w:rPr>
                <w:rFonts w:ascii="Times New Roman" w:hAnsi="Times New Roman" w:eastAsia="Times New Roman"/>
                <w:b/>
                <w:color w:val="000000"/>
                <w:sz w:val="24"/>
              </w:rPr>
              <w:t>Factor</w:t>
            </w:r>
          </w:p>
        </w:tc>
        <w:tc>
          <w:tcPr>
            <w:tcW w:w="4140" w:type="dxa"/>
            <w:tcMar/>
            <w:vAlign w:val="center"/>
            <w:tcMar>
              <w:top w:w="70" w:type="dxa"/>
              <w:start w:w="90" w:type="dxa"/>
              <w:bottom w:w="70" w:type="dxa"/>
              <w:end w:w="90" w:type="dxa"/>
            </w:tcMar>
          </w:tcPr>
          <w:p w14:paraId="4AE1417D" wp14:textId="77777777">
            <w:pPr>
              <w:spacing w:after="0" w:line="240" w:lineRule="auto"/>
              <w:jc w:val="center"/>
            </w:pPr>
            <w:r>
              <w:rPr>
                <w:rFonts w:ascii="Times New Roman" w:hAnsi="Times New Roman" w:eastAsia="Times New Roman"/>
                <w:b/>
                <w:color w:val="000000"/>
                <w:sz w:val="24"/>
              </w:rPr>
              <w:t>Evidence</w:t>
            </w:r>
          </w:p>
        </w:tc>
        <w:tc>
          <w:tcPr>
            <w:tcW w:w="3465" w:type="dxa"/>
            <w:tcMar/>
            <w:vAlign w:val="center"/>
            <w:tcMar>
              <w:top w:w="70" w:type="dxa"/>
              <w:start w:w="90" w:type="dxa"/>
              <w:bottom w:w="70" w:type="dxa"/>
              <w:end w:w="90" w:type="dxa"/>
            </w:tcMar>
          </w:tcPr>
          <w:p w14:paraId="1F4A0673" wp14:textId="77777777">
            <w:pPr>
              <w:spacing w:after="0" w:line="240" w:lineRule="auto"/>
              <w:jc w:val="center"/>
            </w:pPr>
            <w:r>
              <w:rPr>
                <w:rFonts w:ascii="Times New Roman" w:hAnsi="Times New Roman" w:eastAsia="Times New Roman"/>
                <w:b/>
                <w:color w:val="000000"/>
                <w:sz w:val="24"/>
              </w:rPr>
              <w:t>Implication for Strategy</w:t>
            </w:r>
          </w:p>
        </w:tc>
      </w:tr>
      <w:tr xmlns:wp14="http://schemas.microsoft.com/office/word/2010/wordml" w:rsidTr="73DA7CAF" w14:paraId="02A41B42" wp14:textId="77777777">
        <w:tc>
          <w:tcPr>
            <w:tcW w:w="1755" w:type="dxa"/>
            <w:tcMar/>
            <w:vAlign w:val="center"/>
            <w:tcMar>
              <w:top w:w="70" w:type="dxa"/>
              <w:start w:w="90" w:type="dxa"/>
              <w:bottom w:w="70" w:type="dxa"/>
              <w:end w:w="90" w:type="dxa"/>
            </w:tcMar>
          </w:tcPr>
          <w:p w14:paraId="47BE48D3" wp14:textId="77777777">
            <w:pPr>
              <w:spacing w:after="0" w:line="240" w:lineRule="auto"/>
              <w:jc w:val="left"/>
            </w:pPr>
            <w:r>
              <w:rPr>
                <w:rFonts w:ascii="Times New Roman" w:hAnsi="Times New Roman" w:eastAsia="Times New Roman"/>
                <w:color w:val="000000"/>
                <w:sz w:val="24"/>
              </w:rPr>
              <w:t>Strengths</w:t>
            </w:r>
          </w:p>
        </w:tc>
        <w:tc>
          <w:tcPr>
            <w:tcW w:w="4140" w:type="dxa"/>
            <w:tcMar/>
            <w:vAlign w:val="center"/>
            <w:tcMar>
              <w:top w:w="70" w:type="dxa"/>
              <w:start w:w="90" w:type="dxa"/>
              <w:bottom w:w="70" w:type="dxa"/>
              <w:end w:w="90" w:type="dxa"/>
            </w:tcMar>
          </w:tcPr>
          <w:p w14:paraId="5D59F3EE" wp14:textId="77777777">
            <w:pPr>
              <w:spacing w:after="0" w:line="240" w:lineRule="auto"/>
              <w:jc w:val="left"/>
            </w:pPr>
            <w:r>
              <w:rPr>
                <w:rFonts w:ascii="Times New Roman" w:hAnsi="Times New Roman" w:eastAsia="Times New Roman"/>
                <w:color w:val="000000"/>
                <w:sz w:val="24"/>
              </w:rPr>
              <w:t>Global brand, host and guest network, reviews, technology, liquidity, and asset-light scale</w:t>
            </w:r>
          </w:p>
        </w:tc>
        <w:tc>
          <w:tcPr>
            <w:tcW w:w="3465" w:type="dxa"/>
            <w:tcMar/>
            <w:vAlign w:val="center"/>
            <w:tcMar>
              <w:top w:w="70" w:type="dxa"/>
              <w:start w:w="90" w:type="dxa"/>
              <w:bottom w:w="70" w:type="dxa"/>
              <w:end w:w="90" w:type="dxa"/>
            </w:tcMar>
          </w:tcPr>
          <w:p w14:paraId="39C4A075" wp14:textId="77777777">
            <w:pPr>
              <w:spacing w:after="0" w:line="240" w:lineRule="auto"/>
              <w:jc w:val="left"/>
            </w:pPr>
            <w:r>
              <w:rPr>
                <w:rFonts w:ascii="Times New Roman" w:hAnsi="Times New Roman" w:eastAsia="Times New Roman"/>
                <w:color w:val="000000"/>
                <w:sz w:val="24"/>
              </w:rPr>
              <w:t>Use existing platform capabilities and fund a pilot internally. Do not buy a property portfolio.</w:t>
            </w:r>
          </w:p>
        </w:tc>
      </w:tr>
      <w:tr xmlns:wp14="http://schemas.microsoft.com/office/word/2010/wordml" w:rsidTr="73DA7CAF" w14:paraId="4D88F0CB" wp14:textId="77777777">
        <w:tc>
          <w:tcPr>
            <w:tcW w:w="1755" w:type="dxa"/>
            <w:tcMar/>
            <w:vAlign w:val="center"/>
            <w:tcMar>
              <w:top w:w="70" w:type="dxa"/>
              <w:start w:w="90" w:type="dxa"/>
              <w:bottom w:w="70" w:type="dxa"/>
              <w:end w:w="90" w:type="dxa"/>
            </w:tcMar>
          </w:tcPr>
          <w:p w14:paraId="4149CA96" wp14:textId="77777777">
            <w:pPr>
              <w:spacing w:after="0" w:line="240" w:lineRule="auto"/>
              <w:jc w:val="left"/>
            </w:pPr>
            <w:r>
              <w:rPr>
                <w:rFonts w:ascii="Times New Roman" w:hAnsi="Times New Roman" w:eastAsia="Times New Roman"/>
                <w:color w:val="000000"/>
                <w:sz w:val="24"/>
              </w:rPr>
              <w:t>Weaknesses</w:t>
            </w:r>
          </w:p>
        </w:tc>
        <w:tc>
          <w:tcPr>
            <w:tcW w:w="4140" w:type="dxa"/>
            <w:tcMar/>
            <w:vAlign w:val="center"/>
            <w:tcMar>
              <w:top w:w="70" w:type="dxa"/>
              <w:start w:w="90" w:type="dxa"/>
              <w:bottom w:w="70" w:type="dxa"/>
              <w:end w:w="90" w:type="dxa"/>
            </w:tcMar>
          </w:tcPr>
          <w:p w14:paraId="0896E856" wp14:textId="77777777">
            <w:pPr>
              <w:spacing w:after="0" w:line="240" w:lineRule="auto"/>
              <w:jc w:val="left"/>
            </w:pPr>
            <w:r>
              <w:rPr>
                <w:rFonts w:ascii="Times New Roman" w:hAnsi="Times New Roman" w:eastAsia="Times New Roman"/>
                <w:color w:val="000000"/>
                <w:sz w:val="24"/>
              </w:rPr>
              <w:t>Uneven property quality, limited control of physical service, dependence on hosts, and complex support</w:t>
            </w:r>
          </w:p>
        </w:tc>
        <w:tc>
          <w:tcPr>
            <w:tcW w:w="3465" w:type="dxa"/>
            <w:tcMar/>
            <w:vAlign w:val="center"/>
            <w:tcMar>
              <w:top w:w="70" w:type="dxa"/>
              <w:start w:w="90" w:type="dxa"/>
              <w:bottom w:w="70" w:type="dxa"/>
              <w:end w:w="90" w:type="dxa"/>
            </w:tcMar>
          </w:tcPr>
          <w:p w14:paraId="3DDF54CE" wp14:textId="77777777">
            <w:pPr>
              <w:spacing w:after="0" w:line="240" w:lineRule="auto"/>
              <w:jc w:val="left"/>
            </w:pPr>
            <w:r>
              <w:rPr>
                <w:rFonts w:ascii="Times New Roman" w:hAnsi="Times New Roman" w:eastAsia="Times New Roman"/>
                <w:color w:val="000000"/>
                <w:sz w:val="24"/>
              </w:rPr>
              <w:t>Qualify professional partners, define service standards, and monitor maintenance and guest outcomes.</w:t>
            </w:r>
          </w:p>
        </w:tc>
      </w:tr>
      <w:tr xmlns:wp14="http://schemas.microsoft.com/office/word/2010/wordml" w:rsidTr="73DA7CAF" w14:paraId="48DEEE46" wp14:textId="77777777">
        <w:tc>
          <w:tcPr>
            <w:tcW w:w="1755" w:type="dxa"/>
            <w:tcMar/>
            <w:vAlign w:val="center"/>
            <w:tcMar>
              <w:top w:w="70" w:type="dxa"/>
              <w:start w:w="90" w:type="dxa"/>
              <w:bottom w:w="70" w:type="dxa"/>
              <w:end w:w="90" w:type="dxa"/>
            </w:tcMar>
          </w:tcPr>
          <w:p w14:paraId="353B9EC7" wp14:textId="77777777">
            <w:pPr>
              <w:spacing w:after="0" w:line="240" w:lineRule="auto"/>
              <w:jc w:val="left"/>
            </w:pPr>
            <w:r>
              <w:rPr>
                <w:rFonts w:ascii="Times New Roman" w:hAnsi="Times New Roman" w:eastAsia="Times New Roman"/>
                <w:color w:val="000000"/>
                <w:sz w:val="24"/>
              </w:rPr>
              <w:t>Opportunities</w:t>
            </w:r>
          </w:p>
        </w:tc>
        <w:tc>
          <w:tcPr>
            <w:tcW w:w="4140" w:type="dxa"/>
            <w:tcMar/>
            <w:vAlign w:val="center"/>
            <w:tcMar>
              <w:top w:w="70" w:type="dxa"/>
              <w:start w:w="90" w:type="dxa"/>
              <w:bottom w:w="70" w:type="dxa"/>
              <w:end w:w="90" w:type="dxa"/>
            </w:tcMar>
          </w:tcPr>
          <w:p w14:paraId="7D2D6176" wp14:textId="77777777">
            <w:pPr>
              <w:spacing w:after="0" w:line="240" w:lineRule="auto"/>
              <w:jc w:val="left"/>
            </w:pPr>
            <w:r>
              <w:rPr>
                <w:rFonts w:ascii="Times New Roman" w:hAnsi="Times New Roman" w:eastAsia="Times New Roman"/>
                <w:color w:val="000000"/>
                <w:sz w:val="24"/>
              </w:rPr>
              <w:t>Demand for 30- to 180-night stays, relocation and project travel, professionalized supply, and recurring bookings</w:t>
            </w:r>
          </w:p>
        </w:tc>
        <w:tc>
          <w:tcPr>
            <w:tcW w:w="3465" w:type="dxa"/>
            <w:tcMar/>
            <w:vAlign w:val="center"/>
            <w:tcMar>
              <w:top w:w="70" w:type="dxa"/>
              <w:start w:w="90" w:type="dxa"/>
              <w:bottom w:w="70" w:type="dxa"/>
              <w:end w:w="90" w:type="dxa"/>
            </w:tcMar>
          </w:tcPr>
          <w:p w14:paraId="7B2AB5EC" wp14:textId="77777777">
            <w:pPr>
              <w:spacing w:after="0" w:line="240" w:lineRule="auto"/>
              <w:jc w:val="left"/>
            </w:pPr>
            <w:r>
              <w:rPr>
                <w:rFonts w:ascii="Times New Roman" w:hAnsi="Times New Roman" w:eastAsia="Times New Roman"/>
                <w:color w:val="000000"/>
                <w:sz w:val="24"/>
              </w:rPr>
              <w:t>Create a distinct mid-term product with corporate billing and reliable inventory.</w:t>
            </w:r>
          </w:p>
        </w:tc>
      </w:tr>
      <w:tr xmlns:wp14="http://schemas.microsoft.com/office/word/2010/wordml" w:rsidTr="73DA7CAF" w14:paraId="38DB2C2C" wp14:textId="77777777">
        <w:tc>
          <w:tcPr>
            <w:tcW w:w="1755" w:type="dxa"/>
            <w:tcMar/>
            <w:vAlign w:val="center"/>
            <w:tcMar>
              <w:top w:w="70" w:type="dxa"/>
              <w:start w:w="90" w:type="dxa"/>
              <w:bottom w:w="70" w:type="dxa"/>
              <w:end w:w="90" w:type="dxa"/>
            </w:tcMar>
          </w:tcPr>
          <w:p w14:paraId="413022BA" wp14:textId="77777777">
            <w:pPr>
              <w:spacing w:after="0" w:line="240" w:lineRule="auto"/>
              <w:jc w:val="left"/>
            </w:pPr>
            <w:r>
              <w:rPr>
                <w:rFonts w:ascii="Times New Roman" w:hAnsi="Times New Roman" w:eastAsia="Times New Roman"/>
                <w:color w:val="000000"/>
                <w:sz w:val="24"/>
              </w:rPr>
              <w:t>Threats</w:t>
            </w:r>
          </w:p>
        </w:tc>
        <w:tc>
          <w:tcPr>
            <w:tcW w:w="4140" w:type="dxa"/>
            <w:tcMar/>
            <w:vAlign w:val="center"/>
            <w:tcMar>
              <w:top w:w="70" w:type="dxa"/>
              <w:start w:w="90" w:type="dxa"/>
              <w:bottom w:w="70" w:type="dxa"/>
              <w:end w:w="90" w:type="dxa"/>
            </w:tcMar>
          </w:tcPr>
          <w:p w14:paraId="557E6A7B" wp14:textId="77777777">
            <w:pPr>
              <w:spacing w:after="0" w:line="240" w:lineRule="auto"/>
              <w:jc w:val="left"/>
            </w:pPr>
            <w:r>
              <w:rPr>
                <w:rFonts w:ascii="Times New Roman" w:hAnsi="Times New Roman" w:eastAsia="Times New Roman"/>
                <w:color w:val="000000"/>
                <w:sz w:val="24"/>
              </w:rPr>
              <w:t>Local restrictions, housing criticism, strong online travel agencies and hotels, fraud, and reputational spillover</w:t>
            </w:r>
          </w:p>
        </w:tc>
        <w:tc>
          <w:tcPr>
            <w:tcW w:w="3465" w:type="dxa"/>
            <w:tcMar/>
            <w:vAlign w:val="center"/>
            <w:tcMar>
              <w:top w:w="70" w:type="dxa"/>
              <w:start w:w="90" w:type="dxa"/>
              <w:bottom w:w="70" w:type="dxa"/>
              <w:end w:w="90" w:type="dxa"/>
            </w:tcMar>
          </w:tcPr>
          <w:p w14:paraId="2F125EE3" wp14:textId="77777777">
            <w:pPr>
              <w:spacing w:after="0" w:line="240" w:lineRule="auto"/>
              <w:jc w:val="left"/>
            </w:pPr>
            <w:r>
              <w:rPr>
                <w:rFonts w:ascii="Times New Roman" w:hAnsi="Times New Roman" w:eastAsia="Times New Roman"/>
                <w:color w:val="000000"/>
                <w:sz w:val="24"/>
              </w:rPr>
              <w:t>Use legal market gates, housing safeguards, audit rights, and a phased launch.</w:t>
            </w:r>
          </w:p>
        </w:tc>
      </w:tr>
    </w:tbl>
    <w:p xmlns:wp14="http://schemas.microsoft.com/office/word/2010/wordml" w14:paraId="1238D535" wp14:textId="77777777">
      <w:pPr>
        <w:spacing w:before="0" w:after="0" w:line="240" w:lineRule="auto"/>
      </w:pPr>
      <w:r>
        <w:rPr>
          <w:rFonts w:ascii="Times New Roman" w:hAnsi="Times New Roman" w:eastAsia="Times New Roman"/>
          <w:color w:val="000000"/>
          <w:sz w:val="24"/>
        </w:rPr>
        <w:t>Note. The implications convert the SWOT factors into operating requirements rather than treating the matrix as a descriptive list.</w:t>
      </w:r>
    </w:p>
    <w:p xmlns:wp14="http://schemas.microsoft.com/office/word/2010/wordml" w14:paraId="2101E88E" wp14:textId="6ABF4DC3">
      <w:pPr>
        <w:spacing w:before="0" w:after="0" w:line="480" w:lineRule="auto"/>
        <w:ind w:firstLine="720"/>
        <w:jc w:val="left"/>
      </w:pPr>
      <w:r w:rsidRPr="73DA7CAF" w:rsidR="73DA7CAF">
        <w:rPr>
          <w:rFonts w:ascii="Times New Roman" w:hAnsi="Times New Roman" w:eastAsia="Times New Roman"/>
          <w:color w:val="000000" w:themeColor="text1" w:themeTint="FF" w:themeShade="FF"/>
          <w:sz w:val="24"/>
          <w:szCs w:val="24"/>
        </w:rPr>
        <w:t xml:space="preserve">The SWOT result therefore does more than support growth. It defines how growth must occur. The strategy should remain asset-light, focus on longer stays, rely on qualified operators, begin in legally workable markets, and use measurable service standards. Those conditions are carried into the recommendation and </w:t>
      </w:r>
      <w:r w:rsidRPr="73DA7CAF" w:rsidR="73DA7CAF">
        <w:rPr>
          <w:rFonts w:ascii="Times New Roman" w:hAnsi="Times New Roman" w:eastAsia="Times New Roman"/>
          <w:color w:val="000000" w:themeColor="text1" w:themeTint="FF" w:themeShade="FF"/>
          <w:sz w:val="24"/>
          <w:szCs w:val="24"/>
        </w:rPr>
        <w:t>implementation</w:t>
      </w:r>
      <w:r w:rsidRPr="73DA7CAF" w:rsidR="73DA7CAF">
        <w:rPr>
          <w:rFonts w:ascii="Times New Roman" w:hAnsi="Times New Roman" w:eastAsia="Times New Roman"/>
          <w:color w:val="000000" w:themeColor="text1" w:themeTint="FF" w:themeShade="FF"/>
          <w:sz w:val="24"/>
          <w:szCs w:val="24"/>
        </w:rPr>
        <w:t xml:space="preserve"> plan.</w:t>
      </w:r>
    </w:p>
    <w:p xmlns:wp14="http://schemas.microsoft.com/office/word/2010/wordml" w14:paraId="60061E4C" wp14:textId="77777777">
      <w:r>
        <w:br w:type="page"/>
      </w:r>
    </w:p>
    <w:p xmlns:wp14="http://schemas.microsoft.com/office/word/2010/wordml" w14:paraId="58ED4C0F" wp14:textId="77777777">
      <w:pPr>
        <w:keepNext/>
        <w:spacing w:before="0" w:after="0" w:line="480" w:lineRule="auto"/>
        <w:jc w:val="center"/>
      </w:pPr>
      <w:r>
        <w:rPr>
          <w:rFonts w:ascii="Times New Roman" w:hAnsi="Times New Roman" w:eastAsia="Times New Roman"/>
          <w:b/>
          <w:color w:val="000000"/>
          <w:sz w:val="24"/>
        </w:rPr>
        <w:t>How SWOT and BCG Drive the Recommendation</w:t>
      </w:r>
    </w:p>
    <w:p xmlns:wp14="http://schemas.microsoft.com/office/word/2010/wordml" w14:paraId="1EC0CDC5" wp14:textId="77777777">
      <w:pPr>
        <w:spacing w:before="0" w:after="0" w:line="480" w:lineRule="auto"/>
        <w:ind w:firstLine="720"/>
        <w:jc w:val="left"/>
      </w:pPr>
      <w:r>
        <w:rPr>
          <w:rFonts w:ascii="Times New Roman" w:hAnsi="Times New Roman" w:eastAsia="Times New Roman"/>
          <w:color w:val="000000"/>
          <w:sz w:val="24"/>
        </w:rPr>
        <w:t>The recommended action is to establish an institutional co-hosting and mid-term corporate housing network for stays generally lasting 30 to 180 nights. Airbnb would recruit qualified property managers, corporate housing operators, relocation firms, and experienced co-hosts. Approved inventory would receive a clear designation in search results and would follow program rules for listing accuracy, furnishings, utilities, maintenance response, payment, cancellation, and guest support.</w:t>
      </w:r>
    </w:p>
    <w:p xmlns:wp14="http://schemas.microsoft.com/office/word/2010/wordml" w14:paraId="770AA120" wp14:textId="77777777">
      <w:pPr>
        <w:spacing w:before="0" w:after="0" w:line="480" w:lineRule="auto"/>
        <w:ind w:firstLine="720"/>
        <w:jc w:val="left"/>
      </w:pPr>
      <w:r>
        <w:rPr>
          <w:rFonts w:ascii="Times New Roman" w:hAnsi="Times New Roman" w:eastAsia="Times New Roman"/>
          <w:color w:val="000000"/>
          <w:sz w:val="24"/>
        </w:rPr>
        <w:t>The BCG analysis determines where the resources come from and how much strategic distance is acceptable. Cash generated by the core accommodation marketplace can fund the pilot. Because the core is the source of Airbnb's brand and cash flow, the new program must use and protect that business rather than create a separate capital-heavy company. The recommendation stays within accommodations, uses the same technology and demand network, and adds a controlled supply channel. It is adjacent growth, not unrelated diversification.</w:t>
      </w:r>
    </w:p>
    <w:p xmlns:wp14="http://schemas.microsoft.com/office/word/2010/wordml" w14:paraId="67DEF1A1" wp14:textId="77777777">
      <w:pPr>
        <w:spacing w:before="0" w:after="0" w:line="480" w:lineRule="auto"/>
        <w:ind w:firstLine="720"/>
        <w:jc w:val="left"/>
      </w:pPr>
      <w:r>
        <w:rPr>
          <w:rFonts w:ascii="Times New Roman" w:hAnsi="Times New Roman" w:eastAsia="Times New Roman"/>
          <w:color w:val="000000"/>
          <w:sz w:val="24"/>
        </w:rPr>
        <w:t>The SWOT analysis determines the program's form. Airbnb's platform, brand, data, and liquidity make the marketplace approach feasible. The weakness in physical quality control leads to partner qualification, property standards, and measurable response times. The opportunity in longer stays and professional supply leads to the 30- to 180-night target and corporate features. Regulatory and community threats lead to legal market gates, local review, audit rights, and a limited pilot. Without those links, the recommendation would be a general growth idea. With them, it becomes a response to the company's diagnosed condition.</w:t>
      </w:r>
    </w:p>
    <w:p xmlns:wp14="http://schemas.microsoft.com/office/word/2010/wordml" w14:paraId="44EAFD9C" wp14:textId="77777777">
      <w:r>
        <w:br w:type="page"/>
      </w:r>
    </w:p>
    <w:p xmlns:wp14="http://schemas.microsoft.com/office/word/2010/wordml" w14:paraId="2A5999D2" wp14:textId="77777777">
      <w:pPr>
        <w:keepNext/>
        <w:spacing w:before="0" w:after="0" w:line="480" w:lineRule="auto"/>
        <w:jc w:val="center"/>
      </w:pPr>
      <w:r>
        <w:rPr>
          <w:rFonts w:ascii="Times New Roman" w:hAnsi="Times New Roman" w:eastAsia="Times New Roman"/>
          <w:b/>
          <w:color w:val="000000"/>
          <w:sz w:val="24"/>
        </w:rPr>
        <w:t>Section IV Problem Solving Model</w:t>
      </w:r>
    </w:p>
    <w:p xmlns:wp14="http://schemas.microsoft.com/office/word/2010/wordml" w14:paraId="6011899B" wp14:textId="77777777">
      <w:pPr>
        <w:keepNext/>
        <w:spacing w:before="0" w:after="0" w:line="480" w:lineRule="auto"/>
        <w:jc w:val="left"/>
      </w:pPr>
      <w:r>
        <w:rPr>
          <w:rFonts w:ascii="Times New Roman" w:hAnsi="Times New Roman" w:eastAsia="Times New Roman"/>
          <w:b/>
          <w:color w:val="000000"/>
          <w:sz w:val="24"/>
        </w:rPr>
        <w:t>Relevant Facts Problem Definition and Causes</w:t>
      </w:r>
    </w:p>
    <w:p xmlns:wp14="http://schemas.microsoft.com/office/word/2010/wordml" w14:paraId="63975952" wp14:textId="77777777">
      <w:pPr>
        <w:spacing w:before="0" w:after="0" w:line="480" w:lineRule="auto"/>
        <w:ind w:firstLine="720"/>
        <w:jc w:val="left"/>
      </w:pPr>
      <w:r>
        <w:rPr>
          <w:rFonts w:ascii="Times New Roman" w:hAnsi="Times New Roman" w:eastAsia="Times New Roman"/>
          <w:color w:val="000000"/>
          <w:sz w:val="24"/>
        </w:rPr>
        <w:t>The problem is that Airbnb needs a source of durable accommodation growth that improves service consistency and reduces dependence on highly contested short-term stays without abandoning its asset-light platform. Increasing ordinary listings would add supply but would not solve the quality or regulatory problem. Buying or leasing properties would add control but would change Airbnb's cost structure and expose the company to real estate risk. The chosen action must therefore improve control through standards and partnerships rather than ownership.</w:t>
      </w:r>
    </w:p>
    <w:p xmlns:wp14="http://schemas.microsoft.com/office/word/2010/wordml" w14:paraId="420259A9" wp14:textId="77777777">
      <w:pPr>
        <w:spacing w:before="0" w:after="0" w:line="480" w:lineRule="auto"/>
        <w:ind w:firstLine="720"/>
        <w:jc w:val="left"/>
      </w:pPr>
      <w:r>
        <w:rPr>
          <w:rFonts w:ascii="Times New Roman" w:hAnsi="Times New Roman" w:eastAsia="Times New Roman"/>
          <w:color w:val="000000"/>
          <w:sz w:val="24"/>
        </w:rPr>
        <w:t>Four causes explain the problem. First, the digital marketplace and the physical stay are controlled by different parties. Reviews can reveal poor performance after a stay, but they do not always prevent it. Second, local governments regulate housing based on local conditions, so a product that is legal in one city may be restricted in another. Third, guests can switch among platforms and hotels, which makes a service failure costly. Fourth, Airbnb's historical strength in leisure and unique stays does not automatically satisfy employers that need invoices, predictable support, and documented property standards.</w:t>
      </w:r>
    </w:p>
    <w:p xmlns:wp14="http://schemas.microsoft.com/office/word/2010/wordml" w14:paraId="6E767A0F" wp14:textId="77777777">
      <w:pPr>
        <w:spacing w:before="0" w:after="0" w:line="480" w:lineRule="auto"/>
        <w:ind w:firstLine="720"/>
        <w:jc w:val="left"/>
      </w:pPr>
      <w:r>
        <w:rPr>
          <w:rFonts w:ascii="Times New Roman" w:hAnsi="Times New Roman" w:eastAsia="Times New Roman"/>
          <w:color w:val="000000"/>
          <w:sz w:val="24"/>
        </w:rPr>
        <w:t>The objective is to validate, within three years, a repeatable operating model that produces positive program contribution, higher satisfaction than comparable ordinary listings, acceptable regulatory compliance, and repeat demand from both guests and business accounts. The program should be stopped or redesigned if it cannot meet those tests. Growth in gross booking value alone is not sufficient because volume could conceal poor service, high incentives, or unacceptable legal risk.</w:t>
      </w:r>
    </w:p>
    <w:p xmlns:wp14="http://schemas.microsoft.com/office/word/2010/wordml" w14:paraId="4B94D5A5" wp14:textId="77777777">
      <w:r>
        <w:br w:type="page"/>
      </w:r>
    </w:p>
    <w:p xmlns:wp14="http://schemas.microsoft.com/office/word/2010/wordml" w14:paraId="3497C0CB" wp14:textId="77777777">
      <w:pPr>
        <w:keepNext/>
        <w:spacing w:before="0" w:after="0" w:line="480" w:lineRule="auto"/>
        <w:jc w:val="center"/>
      </w:pPr>
      <w:r>
        <w:rPr>
          <w:rFonts w:ascii="Times New Roman" w:hAnsi="Times New Roman" w:eastAsia="Times New Roman"/>
          <w:b/>
          <w:color w:val="000000"/>
          <w:sz w:val="24"/>
        </w:rPr>
        <w:t>Alternative Strategies</w:t>
      </w:r>
    </w:p>
    <w:p xmlns:wp14="http://schemas.microsoft.com/office/word/2010/wordml" w14:paraId="3375FEC4" wp14:textId="77777777">
      <w:pPr>
        <w:spacing w:before="0" w:after="0" w:line="480" w:lineRule="auto"/>
        <w:ind w:firstLine="720"/>
        <w:jc w:val="left"/>
      </w:pPr>
      <w:r>
        <w:rPr>
          <w:rFonts w:ascii="Times New Roman" w:hAnsi="Times New Roman" w:eastAsia="Times New Roman"/>
          <w:color w:val="000000"/>
          <w:sz w:val="24"/>
        </w:rPr>
        <w:t>Alternative 1 is to improve standards across the general host marketplace without a professional tier. This would benefit the core platform at relatively low cost, but it would not create specialized inventory, billing, maintenance commitments, or a sales process for longer-stay corporate demand.</w:t>
      </w:r>
    </w:p>
    <w:p xmlns:wp14="http://schemas.microsoft.com/office/word/2010/wordml" w14:paraId="4F20B9D6" wp14:textId="77777777">
      <w:pPr>
        <w:spacing w:before="0" w:after="0" w:line="480" w:lineRule="auto"/>
        <w:ind w:firstLine="720"/>
        <w:jc w:val="left"/>
      </w:pPr>
      <w:r>
        <w:rPr>
          <w:rFonts w:ascii="Times New Roman" w:hAnsi="Times New Roman" w:eastAsia="Times New Roman"/>
          <w:color w:val="000000"/>
          <w:sz w:val="24"/>
        </w:rPr>
        <w:t>Alternative 2 is to acquire or lease furnished apartments. Direct control would simplify standards, but property commitments would add fixed costs, occupancy risk, and community opposition. The model conflicts with Airbnb's asset-light economics.</w:t>
      </w:r>
    </w:p>
    <w:p xmlns:wp14="http://schemas.microsoft.com/office/word/2010/wordml" w14:paraId="07514BF1" wp14:textId="77777777">
      <w:pPr>
        <w:spacing w:before="0" w:after="0" w:line="480" w:lineRule="auto"/>
        <w:ind w:firstLine="720"/>
        <w:jc w:val="left"/>
      </w:pPr>
      <w:r>
        <w:rPr>
          <w:rFonts w:ascii="Times New Roman" w:hAnsi="Times New Roman" w:eastAsia="Times New Roman"/>
          <w:color w:val="000000"/>
          <w:sz w:val="24"/>
        </w:rPr>
        <w:t>Alternative 3 is the proposed institutional co-hosting network. Airbnb would own the customer relationship and standards while qualified partners operate the properties. It requires onboarding and monitoring, yet it offers strategic fit, lower capital exposure, professional capability, and a direct response to quality and regulatory problems.</w:t>
      </w:r>
    </w:p>
    <w:p xmlns:wp14="http://schemas.microsoft.com/office/word/2010/wordml" w14:paraId="12E1DA66" wp14:textId="77777777">
      <w:pPr>
        <w:spacing w:before="0" w:after="0" w:line="480" w:lineRule="auto"/>
        <w:ind w:firstLine="720"/>
        <w:jc w:val="left"/>
      </w:pPr>
      <w:r>
        <w:rPr>
          <w:rFonts w:ascii="Times New Roman" w:hAnsi="Times New Roman" w:eastAsia="Times New Roman"/>
          <w:color w:val="000000"/>
          <w:sz w:val="24"/>
        </w:rPr>
        <w:t>Alternative 4 is to rely mainly on hotels and serviced-apartment brands. Those suppliers offer dependable operations, but they have their own channels and may resist Airbnb's economics or customer ownership. A hotel-led model would also narrow the variety that differentiates Airbnb.</w:t>
      </w:r>
    </w:p>
    <w:p xmlns:wp14="http://schemas.microsoft.com/office/word/2010/wordml" w14:paraId="5DC9E7E9" wp14:textId="77777777">
      <w:pPr>
        <w:spacing w:before="0" w:after="0" w:line="480" w:lineRule="auto"/>
        <w:ind w:firstLine="720"/>
        <w:jc w:val="left"/>
      </w:pPr>
      <w:r>
        <w:rPr>
          <w:rFonts w:ascii="Times New Roman" w:hAnsi="Times New Roman" w:eastAsia="Times New Roman"/>
          <w:color w:val="000000"/>
          <w:sz w:val="24"/>
        </w:rPr>
        <w:t>The alternatives can complement one another, but the primary action should be institutional co-hosting. Direct ownership is too capital intensive, a general quality program is too broad to create the target segment, and a hotel-led approach gives too much leverage to suppliers.</w:t>
      </w:r>
    </w:p>
    <w:p xmlns:wp14="http://schemas.microsoft.com/office/word/2010/wordml" w14:paraId="3DEEC669" wp14:textId="77777777">
      <w:r>
        <w:br w:type="page"/>
      </w:r>
    </w:p>
    <w:p xmlns:wp14="http://schemas.microsoft.com/office/word/2010/wordml" w14:paraId="611925C6" wp14:textId="77777777">
      <w:pPr>
        <w:keepNext/>
        <w:spacing w:before="0" w:after="0" w:line="480" w:lineRule="auto"/>
        <w:jc w:val="center"/>
      </w:pPr>
      <w:r>
        <w:rPr>
          <w:rFonts w:ascii="Times New Roman" w:hAnsi="Times New Roman" w:eastAsia="Times New Roman"/>
          <w:b/>
          <w:color w:val="000000"/>
          <w:sz w:val="24"/>
        </w:rPr>
        <w:t>Evaluation and Decision</w:t>
      </w:r>
    </w:p>
    <w:p xmlns:wp14="http://schemas.microsoft.com/office/word/2010/wordml" w14:paraId="4DF1E221" wp14:textId="77777777">
      <w:pPr>
        <w:spacing w:before="0" w:after="0" w:line="480" w:lineRule="auto"/>
        <w:ind w:firstLine="720"/>
        <w:jc w:val="left"/>
      </w:pPr>
      <w:r>
        <w:rPr>
          <w:rFonts w:ascii="Times New Roman" w:hAnsi="Times New Roman" w:eastAsia="Times New Roman"/>
          <w:color w:val="000000"/>
          <w:sz w:val="24"/>
        </w:rPr>
        <w:t>The alternatives were compared on strategic fit, quality control, regulatory adaptability, capital intensity, speed, and access to longer-stay demand. Scores use a five-point scale, where five is most favorable. The weights reflect the diagnosis: strategic fit and quality matter most, while regulatory adaptability is essential to a lawful rollout.</w:t>
      </w:r>
    </w:p>
    <w:p xmlns:wp14="http://schemas.microsoft.com/office/word/2010/wordml" w14:paraId="34530CEF" wp14:textId="77777777">
      <w:pPr>
        <w:keepNext/>
        <w:spacing w:before="0" w:after="0" w:line="480" w:lineRule="auto"/>
      </w:pPr>
      <w:r>
        <w:rPr>
          <w:rFonts w:ascii="Times New Roman" w:hAnsi="Times New Roman" w:eastAsia="Times New Roman"/>
          <w:b/>
          <w:color w:val="000000"/>
          <w:sz w:val="24"/>
        </w:rPr>
        <w:t>Table 3</w:t>
      </w:r>
      <w:r>
        <w:rPr>
          <w:rFonts w:ascii="Times New Roman" w:hAnsi="Times New Roman" w:eastAsia="Times New Roman"/>
          <w:b/>
          <w:color w:val="000000"/>
          <w:sz w:val="24"/>
        </w:rPr>
        <w:br/>
      </w:r>
      <w:r>
        <w:rPr>
          <w:rFonts w:ascii="Times New Roman" w:hAnsi="Times New Roman" w:eastAsia="Times New Roman"/>
          <w:i/>
          <w:color w:val="000000"/>
          <w:sz w:val="24"/>
        </w:rPr>
        <w:t>Comparison of Strategic Alternatives</w:t>
      </w:r>
    </w:p>
    <w:tbl>
      <w:tblPr>
        <w:tblW w:w="9360" w:type="dxa"/>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autofit"/>
        <w:tblLook w:val="04A0" w:firstRow="1" w:lastRow="0" w:firstColumn="1" w:lastColumn="0" w:noHBand="0" w:noVBand="1"/>
      </w:tblPr>
      <w:tblGrid>
        <w:gridCol w:w="2340"/>
        <w:gridCol w:w="2340"/>
        <w:gridCol w:w="2685"/>
        <w:gridCol w:w="1995"/>
      </w:tblGrid>
      <w:tr xmlns:wp14="http://schemas.microsoft.com/office/word/2010/wordml" w:rsidTr="73DA7CAF" w14:paraId="49192D7D" wp14:textId="77777777">
        <w:trPr>
          <w:tblHeader/>
        </w:trPr>
        <w:tc>
          <w:tcPr>
            <w:tcW w:w="2340" w:type="dxa"/>
            <w:tcMar/>
            <w:vAlign w:val="center"/>
            <w:tcMar>
              <w:top w:w="70" w:type="dxa"/>
              <w:start w:w="90" w:type="dxa"/>
              <w:bottom w:w="70" w:type="dxa"/>
              <w:end w:w="90" w:type="dxa"/>
            </w:tcMar>
          </w:tcPr>
          <w:p w14:paraId="3351A1B5" wp14:textId="77777777">
            <w:pPr>
              <w:spacing w:after="0" w:line="240" w:lineRule="auto"/>
              <w:jc w:val="center"/>
            </w:pPr>
            <w:r>
              <w:rPr>
                <w:rFonts w:ascii="Times New Roman" w:hAnsi="Times New Roman" w:eastAsia="Times New Roman"/>
                <w:b/>
                <w:color w:val="000000"/>
                <w:sz w:val="24"/>
              </w:rPr>
              <w:t>Alternative</w:t>
            </w:r>
          </w:p>
        </w:tc>
        <w:tc>
          <w:tcPr>
            <w:tcW w:w="2340" w:type="dxa"/>
            <w:tcMar/>
            <w:vAlign w:val="center"/>
            <w:tcMar>
              <w:top w:w="70" w:type="dxa"/>
              <w:start w:w="90" w:type="dxa"/>
              <w:bottom w:w="70" w:type="dxa"/>
              <w:end w:w="90" w:type="dxa"/>
            </w:tcMar>
          </w:tcPr>
          <w:p w14:paraId="4D8D8B91" wp14:textId="77777777">
            <w:pPr>
              <w:spacing w:after="0" w:line="240" w:lineRule="auto"/>
              <w:jc w:val="center"/>
            </w:pPr>
            <w:r>
              <w:rPr>
                <w:rFonts w:ascii="Times New Roman" w:hAnsi="Times New Roman" w:eastAsia="Times New Roman"/>
                <w:b/>
                <w:color w:val="000000"/>
                <w:sz w:val="24"/>
              </w:rPr>
              <w:t>Main Advantage</w:t>
            </w:r>
          </w:p>
        </w:tc>
        <w:tc>
          <w:tcPr>
            <w:tcW w:w="2685" w:type="dxa"/>
            <w:tcMar/>
            <w:vAlign w:val="center"/>
            <w:tcMar>
              <w:top w:w="70" w:type="dxa"/>
              <w:start w:w="90" w:type="dxa"/>
              <w:bottom w:w="70" w:type="dxa"/>
              <w:end w:w="90" w:type="dxa"/>
            </w:tcMar>
          </w:tcPr>
          <w:p w14:paraId="43C505AB" wp14:textId="77777777">
            <w:pPr>
              <w:spacing w:after="0" w:line="240" w:lineRule="auto"/>
              <w:jc w:val="center"/>
            </w:pPr>
            <w:r>
              <w:rPr>
                <w:rFonts w:ascii="Times New Roman" w:hAnsi="Times New Roman" w:eastAsia="Times New Roman"/>
                <w:b/>
                <w:color w:val="000000"/>
                <w:sz w:val="24"/>
              </w:rPr>
              <w:t>Main Disadvantage</w:t>
            </w:r>
          </w:p>
        </w:tc>
        <w:tc>
          <w:tcPr>
            <w:tcW w:w="1995" w:type="dxa"/>
            <w:tcMar/>
            <w:vAlign w:val="center"/>
            <w:tcMar>
              <w:top w:w="70" w:type="dxa"/>
              <w:start w:w="90" w:type="dxa"/>
              <w:bottom w:w="70" w:type="dxa"/>
              <w:end w:w="90" w:type="dxa"/>
            </w:tcMar>
          </w:tcPr>
          <w:p w14:paraId="4AB1BC79" wp14:textId="77777777">
            <w:pPr>
              <w:spacing w:after="0" w:line="240" w:lineRule="auto"/>
              <w:jc w:val="center"/>
            </w:pPr>
            <w:r>
              <w:rPr>
                <w:rFonts w:ascii="Times New Roman" w:hAnsi="Times New Roman" w:eastAsia="Times New Roman"/>
                <w:b/>
                <w:color w:val="000000"/>
                <w:sz w:val="24"/>
              </w:rPr>
              <w:t>Weighted Score</w:t>
            </w:r>
          </w:p>
        </w:tc>
      </w:tr>
      <w:tr xmlns:wp14="http://schemas.microsoft.com/office/word/2010/wordml" w:rsidTr="73DA7CAF" w14:paraId="5238E906" wp14:textId="77777777">
        <w:tc>
          <w:tcPr>
            <w:tcW w:w="2340" w:type="dxa"/>
            <w:tcMar/>
            <w:vAlign w:val="center"/>
            <w:tcMar>
              <w:top w:w="70" w:type="dxa"/>
              <w:start w:w="90" w:type="dxa"/>
              <w:bottom w:w="70" w:type="dxa"/>
              <w:end w:w="90" w:type="dxa"/>
            </w:tcMar>
          </w:tcPr>
          <w:p w14:paraId="45F83160" wp14:textId="77777777">
            <w:pPr>
              <w:spacing w:after="0" w:line="240" w:lineRule="auto"/>
              <w:jc w:val="left"/>
            </w:pPr>
            <w:r>
              <w:rPr>
                <w:rFonts w:ascii="Times New Roman" w:hAnsi="Times New Roman" w:eastAsia="Times New Roman"/>
                <w:color w:val="000000"/>
                <w:sz w:val="24"/>
              </w:rPr>
              <w:t>General marketplace</w:t>
            </w:r>
          </w:p>
        </w:tc>
        <w:tc>
          <w:tcPr>
            <w:tcW w:w="2340" w:type="dxa"/>
            <w:tcMar/>
            <w:vAlign w:val="center"/>
            <w:tcMar>
              <w:top w:w="70" w:type="dxa"/>
              <w:start w:w="90" w:type="dxa"/>
              <w:bottom w:w="70" w:type="dxa"/>
              <w:end w:w="90" w:type="dxa"/>
            </w:tcMar>
          </w:tcPr>
          <w:p w14:paraId="2B63FECE" wp14:textId="77777777">
            <w:pPr>
              <w:spacing w:after="0" w:line="240" w:lineRule="auto"/>
              <w:jc w:val="left"/>
            </w:pPr>
            <w:r>
              <w:rPr>
                <w:rFonts w:ascii="Times New Roman" w:hAnsi="Times New Roman" w:eastAsia="Times New Roman"/>
                <w:color w:val="000000"/>
                <w:sz w:val="24"/>
              </w:rPr>
              <w:t>Low cost and broad platform benefit</w:t>
            </w:r>
          </w:p>
        </w:tc>
        <w:tc>
          <w:tcPr>
            <w:tcW w:w="2685" w:type="dxa"/>
            <w:tcMar/>
            <w:vAlign w:val="center"/>
            <w:tcMar>
              <w:top w:w="70" w:type="dxa"/>
              <w:start w:w="90" w:type="dxa"/>
              <w:bottom w:w="70" w:type="dxa"/>
              <w:end w:w="90" w:type="dxa"/>
            </w:tcMar>
          </w:tcPr>
          <w:p w14:paraId="1A611E08" wp14:textId="77777777">
            <w:pPr>
              <w:spacing w:after="0" w:line="240" w:lineRule="auto"/>
              <w:jc w:val="left"/>
            </w:pPr>
            <w:r>
              <w:rPr>
                <w:rFonts w:ascii="Times New Roman" w:hAnsi="Times New Roman" w:eastAsia="Times New Roman"/>
                <w:color w:val="000000"/>
                <w:sz w:val="24"/>
              </w:rPr>
              <w:t>Does not create the specialized longer-stay product</w:t>
            </w:r>
          </w:p>
        </w:tc>
        <w:tc>
          <w:tcPr>
            <w:tcW w:w="1995" w:type="dxa"/>
            <w:tcMar/>
            <w:vAlign w:val="center"/>
            <w:tcMar>
              <w:top w:w="70" w:type="dxa"/>
              <w:start w:w="90" w:type="dxa"/>
              <w:bottom w:w="70" w:type="dxa"/>
              <w:end w:w="90" w:type="dxa"/>
            </w:tcMar>
          </w:tcPr>
          <w:p w14:paraId="633EF7F9" wp14:textId="77777777">
            <w:pPr>
              <w:spacing w:after="0" w:line="240" w:lineRule="auto"/>
              <w:jc w:val="center"/>
            </w:pPr>
            <w:r>
              <w:rPr>
                <w:rFonts w:ascii="Times New Roman" w:hAnsi="Times New Roman" w:eastAsia="Times New Roman"/>
                <w:color w:val="000000"/>
                <w:sz w:val="24"/>
              </w:rPr>
              <w:t>3.15</w:t>
            </w:r>
          </w:p>
        </w:tc>
      </w:tr>
      <w:tr xmlns:wp14="http://schemas.microsoft.com/office/word/2010/wordml" w:rsidTr="73DA7CAF" w14:paraId="6676F642" wp14:textId="77777777">
        <w:tc>
          <w:tcPr>
            <w:tcW w:w="2340" w:type="dxa"/>
            <w:tcMar/>
            <w:vAlign w:val="center"/>
            <w:tcMar>
              <w:top w:w="70" w:type="dxa"/>
              <w:start w:w="90" w:type="dxa"/>
              <w:bottom w:w="70" w:type="dxa"/>
              <w:end w:w="90" w:type="dxa"/>
            </w:tcMar>
          </w:tcPr>
          <w:p w14:paraId="38F296FC" wp14:textId="77777777">
            <w:pPr>
              <w:spacing w:after="0" w:line="240" w:lineRule="auto"/>
              <w:jc w:val="left"/>
            </w:pPr>
            <w:r>
              <w:rPr>
                <w:rFonts w:ascii="Times New Roman" w:hAnsi="Times New Roman" w:eastAsia="Times New Roman"/>
                <w:color w:val="000000"/>
                <w:sz w:val="24"/>
              </w:rPr>
              <w:t>Direct ownership</w:t>
            </w:r>
          </w:p>
        </w:tc>
        <w:tc>
          <w:tcPr>
            <w:tcW w:w="2340" w:type="dxa"/>
            <w:tcMar/>
            <w:vAlign w:val="center"/>
            <w:tcMar>
              <w:top w:w="70" w:type="dxa"/>
              <w:start w:w="90" w:type="dxa"/>
              <w:bottom w:w="70" w:type="dxa"/>
              <w:end w:w="90" w:type="dxa"/>
            </w:tcMar>
          </w:tcPr>
          <w:p w14:paraId="363B3E8B" wp14:textId="77777777">
            <w:pPr>
              <w:spacing w:after="0" w:line="240" w:lineRule="auto"/>
              <w:jc w:val="left"/>
            </w:pPr>
            <w:r>
              <w:rPr>
                <w:rFonts w:ascii="Times New Roman" w:hAnsi="Times New Roman" w:eastAsia="Times New Roman"/>
                <w:color w:val="000000"/>
                <w:sz w:val="24"/>
              </w:rPr>
              <w:t>Strong physical quality control</w:t>
            </w:r>
          </w:p>
        </w:tc>
        <w:tc>
          <w:tcPr>
            <w:tcW w:w="2685" w:type="dxa"/>
            <w:tcMar/>
            <w:vAlign w:val="center"/>
            <w:tcMar>
              <w:top w:w="70" w:type="dxa"/>
              <w:start w:w="90" w:type="dxa"/>
              <w:bottom w:w="70" w:type="dxa"/>
              <w:end w:w="90" w:type="dxa"/>
            </w:tcMar>
          </w:tcPr>
          <w:p w14:paraId="349BA7E5" wp14:textId="77777777">
            <w:pPr>
              <w:spacing w:after="0" w:line="240" w:lineRule="auto"/>
              <w:jc w:val="left"/>
            </w:pPr>
            <w:r>
              <w:rPr>
                <w:rFonts w:ascii="Times New Roman" w:hAnsi="Times New Roman" w:eastAsia="Times New Roman"/>
                <w:color w:val="000000"/>
                <w:sz w:val="24"/>
              </w:rPr>
              <w:t>High fixed cost and real estate exposure</w:t>
            </w:r>
          </w:p>
        </w:tc>
        <w:tc>
          <w:tcPr>
            <w:tcW w:w="1995" w:type="dxa"/>
            <w:tcMar/>
            <w:vAlign w:val="center"/>
            <w:tcMar>
              <w:top w:w="70" w:type="dxa"/>
              <w:start w:w="90" w:type="dxa"/>
              <w:bottom w:w="70" w:type="dxa"/>
              <w:end w:w="90" w:type="dxa"/>
            </w:tcMar>
          </w:tcPr>
          <w:p w14:paraId="7F10B690" wp14:textId="77777777">
            <w:pPr>
              <w:spacing w:after="0" w:line="240" w:lineRule="auto"/>
              <w:jc w:val="center"/>
            </w:pPr>
            <w:r>
              <w:rPr>
                <w:rFonts w:ascii="Times New Roman" w:hAnsi="Times New Roman" w:eastAsia="Times New Roman"/>
                <w:color w:val="000000"/>
                <w:sz w:val="24"/>
              </w:rPr>
              <w:t>2.85</w:t>
            </w:r>
          </w:p>
        </w:tc>
      </w:tr>
      <w:tr xmlns:wp14="http://schemas.microsoft.com/office/word/2010/wordml" w:rsidTr="73DA7CAF" w14:paraId="764907C8" wp14:textId="77777777">
        <w:tc>
          <w:tcPr>
            <w:tcW w:w="2340" w:type="dxa"/>
            <w:tcMar/>
            <w:vAlign w:val="center"/>
            <w:tcMar>
              <w:top w:w="70" w:type="dxa"/>
              <w:start w:w="90" w:type="dxa"/>
              <w:bottom w:w="70" w:type="dxa"/>
              <w:end w:w="90" w:type="dxa"/>
            </w:tcMar>
          </w:tcPr>
          <w:p w14:paraId="5108AD41" wp14:textId="77777777">
            <w:pPr>
              <w:spacing w:after="0" w:line="240" w:lineRule="auto"/>
              <w:jc w:val="left"/>
            </w:pPr>
            <w:r>
              <w:rPr>
                <w:rFonts w:ascii="Times New Roman" w:hAnsi="Times New Roman" w:eastAsia="Times New Roman"/>
                <w:color w:val="000000"/>
                <w:sz w:val="24"/>
              </w:rPr>
              <w:t>Institutional co-hosting</w:t>
            </w:r>
          </w:p>
        </w:tc>
        <w:tc>
          <w:tcPr>
            <w:tcW w:w="2340" w:type="dxa"/>
            <w:tcMar/>
            <w:vAlign w:val="center"/>
            <w:tcMar>
              <w:top w:w="70" w:type="dxa"/>
              <w:start w:w="90" w:type="dxa"/>
              <w:bottom w:w="70" w:type="dxa"/>
              <w:end w:w="90" w:type="dxa"/>
            </w:tcMar>
          </w:tcPr>
          <w:p w14:paraId="61244552" wp14:textId="77777777">
            <w:pPr>
              <w:spacing w:after="0" w:line="240" w:lineRule="auto"/>
              <w:jc w:val="left"/>
            </w:pPr>
            <w:r>
              <w:rPr>
                <w:rFonts w:ascii="Times New Roman" w:hAnsi="Times New Roman" w:eastAsia="Times New Roman"/>
                <w:color w:val="000000"/>
                <w:sz w:val="24"/>
              </w:rPr>
              <w:t>Best fit, adaptable, and capital-light</w:t>
            </w:r>
          </w:p>
        </w:tc>
        <w:tc>
          <w:tcPr>
            <w:tcW w:w="2685" w:type="dxa"/>
            <w:tcMar/>
            <w:vAlign w:val="center"/>
            <w:tcMar>
              <w:top w:w="70" w:type="dxa"/>
              <w:start w:w="90" w:type="dxa"/>
              <w:bottom w:w="70" w:type="dxa"/>
              <w:end w:w="90" w:type="dxa"/>
            </w:tcMar>
          </w:tcPr>
          <w:p w14:paraId="059ADB0E" wp14:textId="77777777">
            <w:pPr>
              <w:spacing w:after="0" w:line="240" w:lineRule="auto"/>
              <w:jc w:val="left"/>
            </w:pPr>
            <w:r>
              <w:rPr>
                <w:rFonts w:ascii="Times New Roman" w:hAnsi="Times New Roman" w:eastAsia="Times New Roman"/>
                <w:color w:val="000000"/>
                <w:sz w:val="24"/>
              </w:rPr>
              <w:t>Requires partner monitoring and compliance systems</w:t>
            </w:r>
          </w:p>
        </w:tc>
        <w:tc>
          <w:tcPr>
            <w:tcW w:w="1995" w:type="dxa"/>
            <w:tcMar/>
            <w:vAlign w:val="center"/>
            <w:tcMar>
              <w:top w:w="70" w:type="dxa"/>
              <w:start w:w="90" w:type="dxa"/>
              <w:bottom w:w="70" w:type="dxa"/>
              <w:end w:w="90" w:type="dxa"/>
            </w:tcMar>
          </w:tcPr>
          <w:p w14:paraId="4456F268" wp14:textId="77777777">
            <w:pPr>
              <w:spacing w:after="0" w:line="240" w:lineRule="auto"/>
              <w:jc w:val="center"/>
            </w:pPr>
            <w:r>
              <w:rPr>
                <w:rFonts w:ascii="Times New Roman" w:hAnsi="Times New Roman" w:eastAsia="Times New Roman"/>
                <w:color w:val="000000"/>
                <w:sz w:val="24"/>
              </w:rPr>
              <w:t>4.25</w:t>
            </w:r>
          </w:p>
        </w:tc>
      </w:tr>
      <w:tr xmlns:wp14="http://schemas.microsoft.com/office/word/2010/wordml" w:rsidTr="73DA7CAF" w14:paraId="6E5B9FA6" wp14:textId="77777777">
        <w:tc>
          <w:tcPr>
            <w:tcW w:w="2340" w:type="dxa"/>
            <w:tcMar/>
            <w:vAlign w:val="center"/>
            <w:tcMar>
              <w:top w:w="70" w:type="dxa"/>
              <w:start w:w="90" w:type="dxa"/>
              <w:bottom w:w="70" w:type="dxa"/>
              <w:end w:w="90" w:type="dxa"/>
            </w:tcMar>
          </w:tcPr>
          <w:p w14:paraId="3AFEEB68" wp14:textId="77777777">
            <w:pPr>
              <w:spacing w:after="0" w:line="240" w:lineRule="auto"/>
              <w:jc w:val="left"/>
            </w:pPr>
            <w:r>
              <w:rPr>
                <w:rFonts w:ascii="Times New Roman" w:hAnsi="Times New Roman" w:eastAsia="Times New Roman"/>
                <w:color w:val="000000"/>
                <w:sz w:val="24"/>
              </w:rPr>
              <w:t>Hotel-led partnership</w:t>
            </w:r>
          </w:p>
        </w:tc>
        <w:tc>
          <w:tcPr>
            <w:tcW w:w="2340" w:type="dxa"/>
            <w:tcMar/>
            <w:vAlign w:val="center"/>
            <w:tcMar>
              <w:top w:w="70" w:type="dxa"/>
              <w:start w:w="90" w:type="dxa"/>
              <w:bottom w:w="70" w:type="dxa"/>
              <w:end w:w="90" w:type="dxa"/>
            </w:tcMar>
          </w:tcPr>
          <w:p w14:paraId="53DAFD59" wp14:textId="77777777">
            <w:pPr>
              <w:spacing w:after="0" w:line="240" w:lineRule="auto"/>
              <w:jc w:val="left"/>
            </w:pPr>
            <w:r>
              <w:rPr>
                <w:rFonts w:ascii="Times New Roman" w:hAnsi="Times New Roman" w:eastAsia="Times New Roman"/>
                <w:color w:val="000000"/>
                <w:sz w:val="24"/>
              </w:rPr>
              <w:t>Reliable professional inventory</w:t>
            </w:r>
          </w:p>
        </w:tc>
        <w:tc>
          <w:tcPr>
            <w:tcW w:w="2685" w:type="dxa"/>
            <w:tcMar/>
            <w:vAlign w:val="center"/>
            <w:tcMar>
              <w:top w:w="70" w:type="dxa"/>
              <w:start w:w="90" w:type="dxa"/>
              <w:bottom w:w="70" w:type="dxa"/>
              <w:end w:w="90" w:type="dxa"/>
            </w:tcMar>
          </w:tcPr>
          <w:p w14:paraId="46BF89E6" wp14:textId="77777777">
            <w:pPr>
              <w:spacing w:after="0" w:line="240" w:lineRule="auto"/>
              <w:jc w:val="left"/>
            </w:pPr>
            <w:r>
              <w:rPr>
                <w:rFonts w:ascii="Times New Roman" w:hAnsi="Times New Roman" w:eastAsia="Times New Roman"/>
                <w:color w:val="000000"/>
                <w:sz w:val="24"/>
              </w:rPr>
              <w:t>Suppliers retain bargaining power and other channels</w:t>
            </w:r>
          </w:p>
        </w:tc>
        <w:tc>
          <w:tcPr>
            <w:tcW w:w="1995" w:type="dxa"/>
            <w:tcMar/>
            <w:vAlign w:val="center"/>
            <w:tcMar>
              <w:top w:w="70" w:type="dxa"/>
              <w:start w:w="90" w:type="dxa"/>
              <w:bottom w:w="70" w:type="dxa"/>
              <w:end w:w="90" w:type="dxa"/>
            </w:tcMar>
          </w:tcPr>
          <w:p w14:paraId="5BB2FE40" wp14:textId="77777777">
            <w:pPr>
              <w:spacing w:after="0" w:line="240" w:lineRule="auto"/>
              <w:jc w:val="center"/>
            </w:pPr>
            <w:r>
              <w:rPr>
                <w:rFonts w:ascii="Times New Roman" w:hAnsi="Times New Roman" w:eastAsia="Times New Roman"/>
                <w:color w:val="000000"/>
                <w:sz w:val="24"/>
              </w:rPr>
              <w:t>3.85</w:t>
            </w:r>
          </w:p>
        </w:tc>
      </w:tr>
    </w:tbl>
    <w:p xmlns:wp14="http://schemas.microsoft.com/office/word/2010/wordml" w14:paraId="25AFD0B2" wp14:textId="77777777">
      <w:pPr>
        <w:spacing w:before="0" w:after="0" w:line="240" w:lineRule="auto"/>
      </w:pPr>
      <w:r>
        <w:rPr>
          <w:rFonts w:ascii="Times New Roman" w:hAnsi="Times New Roman" w:eastAsia="Times New Roman"/>
          <w:color w:val="000000"/>
          <w:sz w:val="24"/>
        </w:rPr>
        <w:t>Note. Scores use the weighted criteria described above and are strategic judgments, not observed performance data.</w:t>
      </w:r>
    </w:p>
    <w:p xmlns:wp14="http://schemas.microsoft.com/office/word/2010/wordml" w14:paraId="6C6FAAD0" wp14:textId="77777777">
      <w:pPr>
        <w:spacing w:before="0" w:after="0" w:line="480" w:lineRule="auto"/>
        <w:ind w:firstLine="720"/>
        <w:jc w:val="left"/>
      </w:pPr>
      <w:r>
        <w:rPr>
          <w:rFonts w:ascii="Times New Roman" w:hAnsi="Times New Roman" w:eastAsia="Times New Roman"/>
          <w:color w:val="000000"/>
          <w:sz w:val="24"/>
        </w:rPr>
        <w:t>Institutional co-hosting receives the highest score because it uses Airbnb's platform capabilities, improves control without ownership, and can be adapted market by market. The decision is therefore to approve a staged three-year pilot, subject to legal review and measurable gates. This is not a decision to promise global scale on day one. It is a decision to build evidence in a small portfolio of markets and expand only when the evidence supports it.</w:t>
      </w:r>
    </w:p>
    <w:p xmlns:wp14="http://schemas.microsoft.com/office/word/2010/wordml" w14:paraId="3656B9AB" wp14:textId="77777777">
      <w:r>
        <w:br w:type="page"/>
      </w:r>
    </w:p>
    <w:p xmlns:wp14="http://schemas.microsoft.com/office/word/2010/wordml" w14:paraId="3E2FCB8D" wp14:textId="77777777">
      <w:pPr>
        <w:keepNext/>
        <w:spacing w:before="0" w:after="0" w:line="480" w:lineRule="auto"/>
        <w:jc w:val="center"/>
      </w:pPr>
      <w:r>
        <w:rPr>
          <w:rFonts w:ascii="Times New Roman" w:hAnsi="Times New Roman" w:eastAsia="Times New Roman"/>
          <w:b/>
          <w:color w:val="000000"/>
          <w:sz w:val="24"/>
        </w:rPr>
        <w:t>Taking Action Implementation Plan</w:t>
      </w:r>
    </w:p>
    <w:p xmlns:wp14="http://schemas.microsoft.com/office/word/2010/wordml" w14:paraId="30771E7B" wp14:textId="77777777">
      <w:pPr>
        <w:spacing w:before="0" w:after="0" w:line="480" w:lineRule="auto"/>
        <w:ind w:firstLine="720"/>
        <w:jc w:val="left"/>
      </w:pPr>
      <w:r>
        <w:rPr>
          <w:rFonts w:ascii="Times New Roman" w:hAnsi="Times New Roman" w:eastAsia="Times New Roman"/>
          <w:color w:val="000000"/>
          <w:sz w:val="24"/>
        </w:rPr>
        <w:t>Implementation should proceed through four gates. Each gate produces evidence needed for the next commitment rather than assuming the program will succeed.</w:t>
      </w:r>
    </w:p>
    <w:p xmlns:wp14="http://schemas.microsoft.com/office/word/2010/wordml" w14:paraId="57C56563" wp14:textId="77777777">
      <w:pPr>
        <w:keepNext/>
        <w:spacing w:before="0" w:after="0" w:line="480" w:lineRule="auto"/>
      </w:pPr>
      <w:r>
        <w:rPr>
          <w:rFonts w:ascii="Times New Roman" w:hAnsi="Times New Roman" w:eastAsia="Times New Roman"/>
          <w:b/>
          <w:color w:val="000000"/>
          <w:sz w:val="24"/>
        </w:rPr>
        <w:t>Table 4</w:t>
      </w:r>
      <w:r>
        <w:rPr>
          <w:rFonts w:ascii="Times New Roman" w:hAnsi="Times New Roman" w:eastAsia="Times New Roman"/>
          <w:b/>
          <w:color w:val="000000"/>
          <w:sz w:val="24"/>
        </w:rPr>
        <w:br/>
      </w:r>
      <w:r>
        <w:rPr>
          <w:rFonts w:ascii="Times New Roman" w:hAnsi="Times New Roman" w:eastAsia="Times New Roman"/>
          <w:i/>
          <w:color w:val="000000"/>
          <w:sz w:val="24"/>
        </w:rPr>
        <w:t>Three-Year Milestones and Decision Gates</w:t>
      </w:r>
    </w:p>
    <w:tbl>
      <w:tblPr>
        <w:tblW w:w="9360" w:type="dxa"/>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autofit"/>
        <w:tblLook w:val="04A0" w:firstRow="1" w:lastRow="0" w:firstColumn="1" w:lastColumn="0" w:noHBand="0" w:noVBand="1"/>
      </w:tblPr>
      <w:tblGrid>
        <w:gridCol w:w="1905"/>
        <w:gridCol w:w="4260"/>
        <w:gridCol w:w="3195"/>
      </w:tblGrid>
      <w:tr xmlns:wp14="http://schemas.microsoft.com/office/word/2010/wordml" w:rsidTr="73DA7CAF" w14:paraId="07799D68" wp14:textId="77777777">
        <w:trPr>
          <w:tblHeader/>
        </w:trPr>
        <w:tc>
          <w:tcPr>
            <w:tcW w:w="1905" w:type="dxa"/>
            <w:tcMar/>
            <w:vAlign w:val="center"/>
            <w:tcMar>
              <w:top w:w="70" w:type="dxa"/>
              <w:start w:w="90" w:type="dxa"/>
              <w:bottom w:w="70" w:type="dxa"/>
              <w:end w:w="90" w:type="dxa"/>
            </w:tcMar>
          </w:tcPr>
          <w:p w14:paraId="3816B0AB" wp14:textId="77777777">
            <w:pPr>
              <w:spacing w:after="0" w:line="240" w:lineRule="auto"/>
              <w:jc w:val="center"/>
            </w:pPr>
            <w:r>
              <w:rPr>
                <w:rFonts w:ascii="Times New Roman" w:hAnsi="Times New Roman" w:eastAsia="Times New Roman"/>
                <w:b/>
                <w:color w:val="000000"/>
                <w:sz w:val="24"/>
              </w:rPr>
              <w:t>Timing</w:t>
            </w:r>
          </w:p>
        </w:tc>
        <w:tc>
          <w:tcPr>
            <w:tcW w:w="4260" w:type="dxa"/>
            <w:tcMar/>
            <w:vAlign w:val="center"/>
            <w:tcMar>
              <w:top w:w="70" w:type="dxa"/>
              <w:start w:w="90" w:type="dxa"/>
              <w:bottom w:w="70" w:type="dxa"/>
              <w:end w:w="90" w:type="dxa"/>
            </w:tcMar>
          </w:tcPr>
          <w:p w14:paraId="60648862" wp14:textId="77777777">
            <w:pPr>
              <w:spacing w:after="0" w:line="240" w:lineRule="auto"/>
              <w:jc w:val="center"/>
            </w:pPr>
            <w:r>
              <w:rPr>
                <w:rFonts w:ascii="Times New Roman" w:hAnsi="Times New Roman" w:eastAsia="Times New Roman"/>
                <w:b/>
                <w:color w:val="000000"/>
                <w:sz w:val="24"/>
              </w:rPr>
              <w:t>Actions</w:t>
            </w:r>
          </w:p>
        </w:tc>
        <w:tc>
          <w:tcPr>
            <w:tcW w:w="3195" w:type="dxa"/>
            <w:tcMar/>
            <w:vAlign w:val="center"/>
            <w:tcMar>
              <w:top w:w="70" w:type="dxa"/>
              <w:start w:w="90" w:type="dxa"/>
              <w:bottom w:w="70" w:type="dxa"/>
              <w:end w:w="90" w:type="dxa"/>
            </w:tcMar>
          </w:tcPr>
          <w:p w14:paraId="26FD6C85" wp14:textId="77777777">
            <w:pPr>
              <w:spacing w:after="0" w:line="240" w:lineRule="auto"/>
              <w:jc w:val="center"/>
            </w:pPr>
            <w:r>
              <w:rPr>
                <w:rFonts w:ascii="Times New Roman" w:hAnsi="Times New Roman" w:eastAsia="Times New Roman"/>
                <w:b/>
                <w:color w:val="000000"/>
                <w:sz w:val="24"/>
              </w:rPr>
              <w:t>Decision Gate</w:t>
            </w:r>
          </w:p>
        </w:tc>
      </w:tr>
      <w:tr xmlns:wp14="http://schemas.microsoft.com/office/word/2010/wordml" w:rsidTr="73DA7CAF" w14:paraId="68FFFD4A" wp14:textId="77777777">
        <w:tc>
          <w:tcPr>
            <w:tcW w:w="1905" w:type="dxa"/>
            <w:tcMar/>
            <w:vAlign w:val="center"/>
            <w:tcMar>
              <w:top w:w="70" w:type="dxa"/>
              <w:start w:w="90" w:type="dxa"/>
              <w:bottom w:w="70" w:type="dxa"/>
              <w:end w:w="90" w:type="dxa"/>
            </w:tcMar>
          </w:tcPr>
          <w:p w14:paraId="1625F1A7" wp14:textId="77777777">
            <w:pPr>
              <w:spacing w:after="0" w:line="240" w:lineRule="auto"/>
              <w:jc w:val="left"/>
            </w:pPr>
            <w:r>
              <w:rPr>
                <w:rFonts w:ascii="Times New Roman" w:hAnsi="Times New Roman" w:eastAsia="Times New Roman"/>
                <w:color w:val="000000"/>
                <w:sz w:val="24"/>
              </w:rPr>
              <w:t>Months 0-3</w:t>
            </w:r>
          </w:p>
        </w:tc>
        <w:tc>
          <w:tcPr>
            <w:tcW w:w="4260" w:type="dxa"/>
            <w:tcMar/>
            <w:vAlign w:val="center"/>
            <w:tcMar>
              <w:top w:w="70" w:type="dxa"/>
              <w:start w:w="90" w:type="dxa"/>
              <w:bottom w:w="70" w:type="dxa"/>
              <w:end w:w="90" w:type="dxa"/>
            </w:tcMar>
          </w:tcPr>
          <w:p w14:paraId="67EA2FFE" wp14:textId="77777777">
            <w:pPr>
              <w:spacing w:after="0" w:line="240" w:lineRule="auto"/>
              <w:jc w:val="left"/>
            </w:pPr>
            <w:r>
              <w:rPr>
                <w:rFonts w:ascii="Times New Roman" w:hAnsi="Times New Roman" w:eastAsia="Times New Roman"/>
                <w:color w:val="000000"/>
                <w:sz w:val="24"/>
              </w:rPr>
              <w:t>Name program leader; select 4-6 markets; complete legal, tax, housing, and demand reviews; define partner and property standards.</w:t>
            </w:r>
          </w:p>
        </w:tc>
        <w:tc>
          <w:tcPr>
            <w:tcW w:w="3195" w:type="dxa"/>
            <w:tcMar/>
            <w:vAlign w:val="center"/>
            <w:tcMar>
              <w:top w:w="70" w:type="dxa"/>
              <w:start w:w="90" w:type="dxa"/>
              <w:bottom w:w="70" w:type="dxa"/>
              <w:end w:w="90" w:type="dxa"/>
            </w:tcMar>
          </w:tcPr>
          <w:p w14:paraId="66DF86DE" wp14:textId="77777777">
            <w:pPr>
              <w:spacing w:after="0" w:line="240" w:lineRule="auto"/>
              <w:jc w:val="left"/>
            </w:pPr>
            <w:r>
              <w:rPr>
                <w:rFonts w:ascii="Times New Roman" w:hAnsi="Times New Roman" w:eastAsia="Times New Roman"/>
                <w:color w:val="000000"/>
                <w:sz w:val="24"/>
              </w:rPr>
              <w:t>No market launches without written legal approval and qualified supply.</w:t>
            </w:r>
          </w:p>
        </w:tc>
      </w:tr>
      <w:tr xmlns:wp14="http://schemas.microsoft.com/office/word/2010/wordml" w:rsidTr="73DA7CAF" w14:paraId="1D45254F" wp14:textId="77777777">
        <w:tc>
          <w:tcPr>
            <w:tcW w:w="1905" w:type="dxa"/>
            <w:tcMar/>
            <w:vAlign w:val="center"/>
            <w:tcMar>
              <w:top w:w="70" w:type="dxa"/>
              <w:start w:w="90" w:type="dxa"/>
              <w:bottom w:w="70" w:type="dxa"/>
              <w:end w:w="90" w:type="dxa"/>
            </w:tcMar>
          </w:tcPr>
          <w:p w14:paraId="614F4E5A" wp14:textId="77777777">
            <w:pPr>
              <w:spacing w:after="0" w:line="240" w:lineRule="auto"/>
              <w:jc w:val="left"/>
            </w:pPr>
            <w:r>
              <w:rPr>
                <w:rFonts w:ascii="Times New Roman" w:hAnsi="Times New Roman" w:eastAsia="Times New Roman"/>
                <w:color w:val="000000"/>
                <w:sz w:val="24"/>
              </w:rPr>
              <w:t>Months 4-9</w:t>
            </w:r>
          </w:p>
        </w:tc>
        <w:tc>
          <w:tcPr>
            <w:tcW w:w="4260" w:type="dxa"/>
            <w:tcMar/>
            <w:vAlign w:val="center"/>
            <w:tcMar>
              <w:top w:w="70" w:type="dxa"/>
              <w:start w:w="90" w:type="dxa"/>
              <w:bottom w:w="70" w:type="dxa"/>
              <w:end w:w="90" w:type="dxa"/>
            </w:tcMar>
          </w:tcPr>
          <w:p w14:paraId="4EC167A1" wp14:textId="77777777">
            <w:pPr>
              <w:spacing w:after="0" w:line="240" w:lineRule="auto"/>
              <w:jc w:val="left"/>
            </w:pPr>
            <w:r>
              <w:rPr>
                <w:rFonts w:ascii="Times New Roman" w:hAnsi="Times New Roman" w:eastAsia="Times New Roman"/>
                <w:color w:val="000000"/>
                <w:sz w:val="24"/>
              </w:rPr>
              <w:t>Onboard partners and 5,000 units; launch search designation, monthly payment, service protocols, and account reporting.</w:t>
            </w:r>
          </w:p>
        </w:tc>
        <w:tc>
          <w:tcPr>
            <w:tcW w:w="3195" w:type="dxa"/>
            <w:tcMar/>
            <w:vAlign w:val="center"/>
            <w:tcMar>
              <w:top w:w="70" w:type="dxa"/>
              <w:start w:w="90" w:type="dxa"/>
              <w:bottom w:w="70" w:type="dxa"/>
              <w:end w:w="90" w:type="dxa"/>
            </w:tcMar>
          </w:tcPr>
          <w:p w14:paraId="64522084" wp14:textId="77777777">
            <w:pPr>
              <w:spacing w:after="0" w:line="240" w:lineRule="auto"/>
              <w:jc w:val="left"/>
            </w:pPr>
            <w:r>
              <w:rPr>
                <w:rFonts w:ascii="Times New Roman" w:hAnsi="Times New Roman" w:eastAsia="Times New Roman"/>
                <w:color w:val="000000"/>
                <w:sz w:val="24"/>
              </w:rPr>
              <w:t>At least 90% document compliance and acceptable pre-launch audit results.</w:t>
            </w:r>
          </w:p>
        </w:tc>
      </w:tr>
      <w:tr xmlns:wp14="http://schemas.microsoft.com/office/word/2010/wordml" w:rsidTr="73DA7CAF" w14:paraId="4CEEDE60" wp14:textId="77777777">
        <w:tc>
          <w:tcPr>
            <w:tcW w:w="1905" w:type="dxa"/>
            <w:tcMar/>
            <w:vAlign w:val="center"/>
            <w:tcMar>
              <w:top w:w="70" w:type="dxa"/>
              <w:start w:w="90" w:type="dxa"/>
              <w:bottom w:w="70" w:type="dxa"/>
              <w:end w:w="90" w:type="dxa"/>
            </w:tcMar>
          </w:tcPr>
          <w:p w14:paraId="6F398EBD" wp14:textId="77777777">
            <w:pPr>
              <w:spacing w:after="0" w:line="240" w:lineRule="auto"/>
              <w:jc w:val="left"/>
            </w:pPr>
            <w:r>
              <w:rPr>
                <w:rFonts w:ascii="Times New Roman" w:hAnsi="Times New Roman" w:eastAsia="Times New Roman"/>
                <w:color w:val="000000"/>
                <w:sz w:val="24"/>
              </w:rPr>
              <w:t>Months 10-18</w:t>
            </w:r>
          </w:p>
        </w:tc>
        <w:tc>
          <w:tcPr>
            <w:tcW w:w="4260" w:type="dxa"/>
            <w:tcMar/>
            <w:vAlign w:val="center"/>
            <w:tcMar>
              <w:top w:w="70" w:type="dxa"/>
              <w:start w:w="90" w:type="dxa"/>
              <w:bottom w:w="70" w:type="dxa"/>
              <w:end w:w="90" w:type="dxa"/>
            </w:tcMar>
          </w:tcPr>
          <w:p w14:paraId="0477A725" wp14:textId="77777777">
            <w:pPr>
              <w:spacing w:after="0" w:line="240" w:lineRule="auto"/>
              <w:jc w:val="left"/>
            </w:pPr>
            <w:r>
              <w:rPr>
                <w:rFonts w:ascii="Times New Roman" w:hAnsi="Times New Roman" w:eastAsia="Times New Roman"/>
                <w:color w:val="000000"/>
                <w:sz w:val="24"/>
              </w:rPr>
              <w:t>Operate beta; compare service and economics with similar ordinary listings; remove weak partners; test corporate acquisition.</w:t>
            </w:r>
          </w:p>
        </w:tc>
        <w:tc>
          <w:tcPr>
            <w:tcW w:w="3195" w:type="dxa"/>
            <w:tcMar/>
            <w:vAlign w:val="center"/>
            <w:tcMar>
              <w:top w:w="70" w:type="dxa"/>
              <w:start w:w="90" w:type="dxa"/>
              <w:bottom w:w="70" w:type="dxa"/>
              <w:end w:w="90" w:type="dxa"/>
            </w:tcMar>
          </w:tcPr>
          <w:p w14:paraId="019F08E0" wp14:textId="77777777">
            <w:pPr>
              <w:spacing w:after="0" w:line="240" w:lineRule="auto"/>
              <w:jc w:val="left"/>
            </w:pPr>
            <w:r>
              <w:rPr>
                <w:rFonts w:ascii="Times New Roman" w:hAnsi="Times New Roman" w:eastAsia="Times New Roman"/>
                <w:color w:val="000000"/>
                <w:sz w:val="24"/>
              </w:rPr>
              <w:t>Positive contribution before central overhead in mature pilot cohorts and no repeated material violations.</w:t>
            </w:r>
          </w:p>
        </w:tc>
      </w:tr>
      <w:tr xmlns:wp14="http://schemas.microsoft.com/office/word/2010/wordml" w:rsidTr="73DA7CAF" w14:paraId="23589D9F" wp14:textId="77777777">
        <w:tc>
          <w:tcPr>
            <w:tcW w:w="1905" w:type="dxa"/>
            <w:tcMar/>
            <w:vAlign w:val="center"/>
            <w:tcMar>
              <w:top w:w="70" w:type="dxa"/>
              <w:start w:w="90" w:type="dxa"/>
              <w:bottom w:w="70" w:type="dxa"/>
              <w:end w:w="90" w:type="dxa"/>
            </w:tcMar>
          </w:tcPr>
          <w:p w14:paraId="31EA6320" wp14:textId="77777777">
            <w:pPr>
              <w:spacing w:after="0" w:line="240" w:lineRule="auto"/>
              <w:jc w:val="left"/>
            </w:pPr>
            <w:r>
              <w:rPr>
                <w:rFonts w:ascii="Times New Roman" w:hAnsi="Times New Roman" w:eastAsia="Times New Roman"/>
                <w:color w:val="000000"/>
                <w:sz w:val="24"/>
              </w:rPr>
              <w:t>Months 19-36</w:t>
            </w:r>
          </w:p>
        </w:tc>
        <w:tc>
          <w:tcPr>
            <w:tcW w:w="4260" w:type="dxa"/>
            <w:tcMar/>
            <w:vAlign w:val="center"/>
            <w:tcMar>
              <w:top w:w="70" w:type="dxa"/>
              <w:start w:w="90" w:type="dxa"/>
              <w:bottom w:w="70" w:type="dxa"/>
              <w:end w:w="90" w:type="dxa"/>
            </w:tcMar>
          </w:tcPr>
          <w:p w14:paraId="571FCE09" wp14:textId="77777777">
            <w:pPr>
              <w:spacing w:after="0" w:line="240" w:lineRule="auto"/>
              <w:jc w:val="left"/>
            </w:pPr>
            <w:r>
              <w:rPr>
                <w:rFonts w:ascii="Times New Roman" w:hAnsi="Times New Roman" w:eastAsia="Times New Roman"/>
                <w:color w:val="000000"/>
                <w:sz w:val="24"/>
              </w:rPr>
              <w:t>Expand to 15-20 markets and 25,000 units only where prior gates are met; automate monitoring; renew high-performing partners.</w:t>
            </w:r>
          </w:p>
        </w:tc>
        <w:tc>
          <w:tcPr>
            <w:tcW w:w="3195" w:type="dxa"/>
            <w:tcMar/>
            <w:vAlign w:val="center"/>
            <w:tcMar>
              <w:top w:w="70" w:type="dxa"/>
              <w:start w:w="90" w:type="dxa"/>
              <w:bottom w:w="70" w:type="dxa"/>
              <w:end w:w="90" w:type="dxa"/>
            </w:tcMar>
          </w:tcPr>
          <w:p w14:paraId="6B0CB282" wp14:textId="77777777">
            <w:pPr>
              <w:spacing w:after="0" w:line="240" w:lineRule="auto"/>
              <w:jc w:val="left"/>
            </w:pPr>
            <w:r>
              <w:rPr>
                <w:rFonts w:ascii="Times New Roman" w:hAnsi="Times New Roman" w:eastAsia="Times New Roman"/>
                <w:color w:val="000000"/>
                <w:sz w:val="24"/>
              </w:rPr>
              <w:t>Board-level review of scale economics, risk, and brand impact before broader rollout.</w:t>
            </w:r>
          </w:p>
        </w:tc>
      </w:tr>
    </w:tbl>
    <w:p xmlns:wp14="http://schemas.microsoft.com/office/word/2010/wordml" w14:paraId="0F41C382" wp14:textId="77777777">
      <w:pPr>
        <w:spacing w:before="0" w:after="0" w:line="240" w:lineRule="auto"/>
      </w:pPr>
      <w:r>
        <w:rPr>
          <w:rFonts w:ascii="Times New Roman" w:hAnsi="Times New Roman" w:eastAsia="Times New Roman"/>
          <w:color w:val="000000"/>
          <w:sz w:val="24"/>
        </w:rPr>
        <w:t>Note. Unit and market targets are planning assumptions for the illustrative pilot.</w:t>
      </w:r>
    </w:p>
    <w:p xmlns:wp14="http://schemas.microsoft.com/office/word/2010/wordml" w14:paraId="4F7BE0CF" wp14:textId="77777777">
      <w:pPr>
        <w:spacing w:before="0" w:after="0" w:line="480" w:lineRule="auto"/>
        <w:ind w:firstLine="720"/>
        <w:jc w:val="left"/>
      </w:pPr>
      <w:r>
        <w:rPr>
          <w:rFonts w:ascii="Times New Roman" w:hAnsi="Times New Roman" w:eastAsia="Times New Roman"/>
          <w:color w:val="000000"/>
          <w:sz w:val="24"/>
        </w:rPr>
        <w:t>Partner standards should cover legal authority, insurance, safety, listing accuracy, utilities, cleanliness, maintenance, complaint handling, and reporting. Product and engineering will build booking and billing features; operations will qualify partners; legal will approve markets; finance will validate contribution; and a small sales team will recruit employers and relocation firms.</w:t>
      </w:r>
    </w:p>
    <w:p xmlns:wp14="http://schemas.microsoft.com/office/word/2010/wordml" w14:paraId="45FB0818" wp14:textId="77777777">
      <w:r>
        <w:br w:type="page"/>
      </w:r>
    </w:p>
    <w:p xmlns:wp14="http://schemas.microsoft.com/office/word/2010/wordml" w14:paraId="45DEC2CB" wp14:textId="77777777">
      <w:pPr>
        <w:keepNext/>
        <w:spacing w:before="0" w:after="0" w:line="480" w:lineRule="auto"/>
        <w:jc w:val="center"/>
      </w:pPr>
      <w:r>
        <w:rPr>
          <w:rFonts w:ascii="Times New Roman" w:hAnsi="Times New Roman" w:eastAsia="Times New Roman"/>
          <w:b/>
          <w:color w:val="000000"/>
          <w:sz w:val="24"/>
        </w:rPr>
        <w:t>Illustrative Three-Year Financial Projection</w:t>
      </w:r>
    </w:p>
    <w:p xmlns:wp14="http://schemas.microsoft.com/office/word/2010/wordml" w14:paraId="51CB7ED1" wp14:textId="77777777">
      <w:pPr>
        <w:spacing w:before="0" w:after="0" w:line="480" w:lineRule="auto"/>
        <w:ind w:firstLine="720"/>
        <w:jc w:val="left"/>
      </w:pPr>
      <w:r w:rsidRPr="73DA7CAF" w:rsidR="73DA7CAF">
        <w:rPr>
          <w:rFonts w:ascii="Times New Roman" w:hAnsi="Times New Roman" w:eastAsia="Times New Roman"/>
          <w:color w:val="000000" w:themeColor="text1" w:themeTint="FF" w:themeShade="FF"/>
          <w:sz w:val="24"/>
          <w:szCs w:val="24"/>
        </w:rPr>
        <w:t xml:space="preserve">The projection below tests the order of magnitude of the opportunity. It is not Airbnb guidance. The base case assumes average available inventory </w:t>
      </w:r>
      <w:sdt>
        <w:sdtPr>
          <w:id w:val="1826913258"/>
          <w15:appearance w15:val="hidden"/>
          <w:tag w:val="tii-similarity-U1VCTUlUVEVEX1dPUktfb2lkOjE6MzYzMDU3NDg0OA=="/>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of 5,000</w:t>
          </w:r>
        </w:sdtContent>
      </w:sdt>
      <w:r w:rsidRPr="73DA7CAF" w:rsidR="73DA7CAF">
        <w:rPr>
          <w:rFonts w:ascii="Times New Roman" w:hAnsi="Times New Roman" w:eastAsia="Times New Roman"/>
          <w:color w:val="000000" w:themeColor="text1" w:themeTint="FF" w:themeShade="FF"/>
          <w:sz w:val="24"/>
          <w:szCs w:val="24"/>
        </w:rPr>
        <w:t xml:space="preserve"> units </w:t>
      </w:r>
      <w:sdt>
        <w:sdtPr>
          <w:id w:val="1978982217"/>
          <w15:appearance w15:val="hidden"/>
          <w:tag w:val="tii-similarity-U1VCTUlUVEVEX1dPUktfb2lkOjE6MzYzMDU3NDg0OA=="/>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in Year 1</w:t>
          </w:r>
        </w:sdtContent>
      </w:sdt>
      <w:r w:rsidRPr="73DA7CAF" w:rsidR="73DA7CAF">
        <w:rPr>
          <w:rFonts w:ascii="Times New Roman" w:hAnsi="Times New Roman" w:eastAsia="Times New Roman"/>
          <w:color w:val="000000" w:themeColor="text1" w:themeTint="FF" w:themeShade="FF"/>
          <w:sz w:val="24"/>
          <w:szCs w:val="24"/>
        </w:rPr>
        <w:t>, 12,</w:t>
      </w:r>
      <w:sdt>
        <w:sdtPr>
          <w:id w:val="469884514"/>
          <w15:appearance w15:val="hidden"/>
          <w:tag w:val="tii-similarity-U1VCTUlUVEVEX1dPUktfb2lkOjE6MzYzMDU3NDg0OA=="/>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000 in Year 2, and</w:t>
          </w:r>
        </w:sdtContent>
      </w:sdt>
      <w:r w:rsidRPr="73DA7CAF" w:rsidR="73DA7CAF">
        <w:rPr>
          <w:rFonts w:ascii="Times New Roman" w:hAnsi="Times New Roman" w:eastAsia="Times New Roman"/>
          <w:color w:val="000000" w:themeColor="text1" w:themeTint="FF" w:themeShade="FF"/>
          <w:sz w:val="24"/>
          <w:szCs w:val="24"/>
        </w:rPr>
        <w:t xml:space="preserve"> 25,</w:t>
      </w:r>
      <w:sdt>
        <w:sdtPr>
          <w:id w:val="959607178"/>
          <w15:appearance w15:val="hidden"/>
          <w:tag w:val="tii-similarity-U1VCTUlUVEVEX1dPUktfb2lkOjE6MzYzMDU3NDg0OA=="/>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000 in Year 3</w:t>
          </w:r>
        </w:sdtContent>
      </w:sdt>
      <w:r w:rsidRPr="73DA7CAF" w:rsidR="73DA7CAF">
        <w:rPr>
          <w:rFonts w:ascii="Times New Roman" w:hAnsi="Times New Roman" w:eastAsia="Times New Roman"/>
          <w:color w:val="000000" w:themeColor="text1" w:themeTint="FF" w:themeShade="FF"/>
          <w:sz w:val="24"/>
          <w:szCs w:val="24"/>
        </w:rPr>
        <w:t>; occupancy of 50%, 58%, and 65%; and an average booked monthly value of $3,000, $3,090, and $3,183. Airbnb revenue is modeled at 14% of gross booking value. Program operating costs include partner onboarding, product development, compliance, support, sales, and marketing. Taxes, stock-based compensation, and companywide overhead are excluded because the purpose is to estimate program contribution.</w:t>
      </w:r>
    </w:p>
    <w:p xmlns:wp14="http://schemas.microsoft.com/office/word/2010/wordml" w14:paraId="3E3BF679" wp14:textId="77777777">
      <w:pPr>
        <w:keepNext/>
        <w:spacing w:before="0" w:after="0" w:line="480" w:lineRule="auto"/>
      </w:pPr>
      <w:r>
        <w:rPr>
          <w:rFonts w:ascii="Times New Roman" w:hAnsi="Times New Roman" w:eastAsia="Times New Roman"/>
          <w:b/>
          <w:color w:val="000000"/>
          <w:sz w:val="24"/>
        </w:rPr>
        <w:t>Table 5</w:t>
      </w:r>
      <w:r>
        <w:rPr>
          <w:rFonts w:ascii="Times New Roman" w:hAnsi="Times New Roman" w:eastAsia="Times New Roman"/>
          <w:b/>
          <w:color w:val="000000"/>
          <w:sz w:val="24"/>
        </w:rPr>
        <w:br/>
      </w:r>
      <w:r>
        <w:rPr>
          <w:rFonts w:ascii="Times New Roman" w:hAnsi="Times New Roman" w:eastAsia="Times New Roman"/>
          <w:i/>
          <w:color w:val="000000"/>
          <w:sz w:val="24"/>
        </w:rPr>
        <w:t>Base-Case Program Projection in Millions</w:t>
      </w:r>
    </w:p>
    <w:tbl>
      <w:tblPr>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autofit"/>
        <w:tblLook w:val="04A0" w:firstRow="1" w:lastRow="0" w:firstColumn="1" w:lastColumn="0" w:noHBand="0" w:noVBand="1"/>
      </w:tblPr>
      <w:tblGrid>
        <w:gridCol w:w="2340"/>
        <w:gridCol w:w="2340"/>
        <w:gridCol w:w="2340"/>
        <w:gridCol w:w="2340"/>
      </w:tblGrid>
      <w:tr xmlns:wp14="http://schemas.microsoft.com/office/word/2010/wordml" w:rsidTr="73DA7CAF" w14:paraId="5E1E04A7" wp14:textId="77777777">
        <w:trPr>
          <w:tblHeader/>
        </w:trPr>
        <w:tc>
          <w:tcPr>
            <w:tcW w:w="2340" w:type="dxa"/>
            <w:tcMar/>
            <w:vAlign w:val="center"/>
            <w:tcMar>
              <w:top w:w="70" w:type="dxa"/>
              <w:start w:w="90" w:type="dxa"/>
              <w:bottom w:w="70" w:type="dxa"/>
              <w:end w:w="90" w:type="dxa"/>
            </w:tcMar>
          </w:tcPr>
          <w:p w14:paraId="15A32DE9" wp14:textId="77777777">
            <w:pPr>
              <w:spacing w:after="0" w:line="240" w:lineRule="auto"/>
              <w:jc w:val="center"/>
            </w:pPr>
            <w:r>
              <w:rPr>
                <w:rFonts w:ascii="Times New Roman" w:hAnsi="Times New Roman" w:eastAsia="Times New Roman"/>
                <w:b/>
                <w:color w:val="000000"/>
                <w:sz w:val="24"/>
              </w:rPr>
              <w:t>Measure</w:t>
            </w:r>
          </w:p>
        </w:tc>
        <w:tc>
          <w:tcPr>
            <w:tcW w:w="2340" w:type="dxa"/>
            <w:tcMar/>
            <w:vAlign w:val="center"/>
            <w:tcMar>
              <w:top w:w="70" w:type="dxa"/>
              <w:start w:w="90" w:type="dxa"/>
              <w:bottom w:w="70" w:type="dxa"/>
              <w:end w:w="90" w:type="dxa"/>
            </w:tcMar>
          </w:tcPr>
          <w:p w14:paraId="6B101A20" wp14:textId="77777777">
            <w:pPr>
              <w:spacing w:after="0" w:line="240" w:lineRule="auto"/>
              <w:jc w:val="center"/>
            </w:pPr>
            <w:r>
              <w:rPr>
                <w:rFonts w:ascii="Times New Roman" w:hAnsi="Times New Roman" w:eastAsia="Times New Roman"/>
                <w:b/>
                <w:color w:val="000000"/>
                <w:sz w:val="24"/>
              </w:rPr>
              <w:t>Year 1</w:t>
            </w:r>
          </w:p>
        </w:tc>
        <w:tc>
          <w:tcPr>
            <w:tcW w:w="2340" w:type="dxa"/>
            <w:tcMar/>
            <w:vAlign w:val="center"/>
            <w:tcMar>
              <w:top w:w="70" w:type="dxa"/>
              <w:start w:w="90" w:type="dxa"/>
              <w:bottom w:w="70" w:type="dxa"/>
              <w:end w:w="90" w:type="dxa"/>
            </w:tcMar>
          </w:tcPr>
          <w:p w14:paraId="5C2255EC" wp14:textId="77777777">
            <w:pPr>
              <w:spacing w:after="0" w:line="240" w:lineRule="auto"/>
              <w:jc w:val="center"/>
            </w:pPr>
            <w:r>
              <w:rPr>
                <w:rFonts w:ascii="Times New Roman" w:hAnsi="Times New Roman" w:eastAsia="Times New Roman"/>
                <w:b/>
                <w:color w:val="000000"/>
                <w:sz w:val="24"/>
              </w:rPr>
              <w:t>Year 2</w:t>
            </w:r>
          </w:p>
        </w:tc>
        <w:tc>
          <w:tcPr>
            <w:tcW w:w="2340" w:type="dxa"/>
            <w:tcMar/>
            <w:vAlign w:val="center"/>
            <w:tcMar>
              <w:top w:w="70" w:type="dxa"/>
              <w:start w:w="90" w:type="dxa"/>
              <w:bottom w:w="70" w:type="dxa"/>
              <w:end w:w="90" w:type="dxa"/>
            </w:tcMar>
          </w:tcPr>
          <w:p w14:paraId="04568CE7" wp14:textId="77777777">
            <w:pPr>
              <w:spacing w:after="0" w:line="240" w:lineRule="auto"/>
              <w:jc w:val="center"/>
            </w:pPr>
            <w:r>
              <w:rPr>
                <w:rFonts w:ascii="Times New Roman" w:hAnsi="Times New Roman" w:eastAsia="Times New Roman"/>
                <w:b/>
                <w:color w:val="000000"/>
                <w:sz w:val="24"/>
              </w:rPr>
              <w:t>Year 3</w:t>
            </w:r>
          </w:p>
        </w:tc>
      </w:tr>
      <w:tr xmlns:wp14="http://schemas.microsoft.com/office/word/2010/wordml" w:rsidTr="73DA7CAF" w14:paraId="0144CBEA" wp14:textId="77777777">
        <w:tc>
          <w:tcPr>
            <w:tcW w:w="2340" w:type="dxa"/>
            <w:tcMar/>
            <w:vAlign w:val="center"/>
            <w:tcMar>
              <w:top w:w="70" w:type="dxa"/>
              <w:start w:w="90" w:type="dxa"/>
              <w:bottom w:w="70" w:type="dxa"/>
              <w:end w:w="90" w:type="dxa"/>
            </w:tcMar>
          </w:tcPr>
          <w:p w14:paraId="79A2D621" wp14:textId="77777777">
            <w:pPr>
              <w:spacing w:after="0" w:line="240" w:lineRule="auto"/>
              <w:jc w:val="left"/>
            </w:pPr>
            <w:r>
              <w:rPr>
                <w:rFonts w:ascii="Times New Roman" w:hAnsi="Times New Roman" w:eastAsia="Times New Roman"/>
                <w:color w:val="000000"/>
                <w:sz w:val="24"/>
              </w:rPr>
              <w:t>Gross booking value</w:t>
            </w:r>
          </w:p>
        </w:tc>
        <w:tc>
          <w:tcPr>
            <w:tcW w:w="2340" w:type="dxa"/>
            <w:tcMar/>
            <w:vAlign w:val="center"/>
            <w:tcMar>
              <w:top w:w="70" w:type="dxa"/>
              <w:start w:w="90" w:type="dxa"/>
              <w:bottom w:w="70" w:type="dxa"/>
              <w:end w:w="90" w:type="dxa"/>
            </w:tcMar>
          </w:tcPr>
          <w:p w14:paraId="5FA12F87" wp14:textId="77777777">
            <w:pPr>
              <w:spacing w:after="0" w:line="240" w:lineRule="auto"/>
              <w:jc w:val="center"/>
            </w:pPr>
            <w:r>
              <w:rPr>
                <w:rFonts w:ascii="Times New Roman" w:hAnsi="Times New Roman" w:eastAsia="Times New Roman"/>
                <w:color w:val="000000"/>
                <w:sz w:val="24"/>
              </w:rPr>
              <w:t>$90.0</w:t>
            </w:r>
          </w:p>
        </w:tc>
        <w:tc>
          <w:tcPr>
            <w:tcW w:w="2340" w:type="dxa"/>
            <w:tcMar/>
            <w:vAlign w:val="center"/>
            <w:tcMar>
              <w:top w:w="70" w:type="dxa"/>
              <w:start w:w="90" w:type="dxa"/>
              <w:bottom w:w="70" w:type="dxa"/>
              <w:end w:w="90" w:type="dxa"/>
            </w:tcMar>
          </w:tcPr>
          <w:p w14:paraId="0EB429E4" wp14:textId="77777777">
            <w:pPr>
              <w:spacing w:after="0" w:line="240" w:lineRule="auto"/>
              <w:jc w:val="center"/>
            </w:pPr>
            <w:r>
              <w:rPr>
                <w:rFonts w:ascii="Times New Roman" w:hAnsi="Times New Roman" w:eastAsia="Times New Roman"/>
                <w:color w:val="000000"/>
                <w:sz w:val="24"/>
              </w:rPr>
              <w:t>$258.1</w:t>
            </w:r>
          </w:p>
        </w:tc>
        <w:tc>
          <w:tcPr>
            <w:tcW w:w="2340" w:type="dxa"/>
            <w:tcMar/>
            <w:vAlign w:val="center"/>
            <w:tcMar>
              <w:top w:w="70" w:type="dxa"/>
              <w:start w:w="90" w:type="dxa"/>
              <w:bottom w:w="70" w:type="dxa"/>
              <w:end w:w="90" w:type="dxa"/>
            </w:tcMar>
          </w:tcPr>
          <w:p w14:paraId="2D78AFD0" wp14:textId="77777777">
            <w:pPr>
              <w:spacing w:after="0" w:line="240" w:lineRule="auto"/>
              <w:jc w:val="center"/>
            </w:pPr>
            <w:r>
              <w:rPr>
                <w:rFonts w:ascii="Times New Roman" w:hAnsi="Times New Roman" w:eastAsia="Times New Roman"/>
                <w:color w:val="000000"/>
                <w:sz w:val="24"/>
              </w:rPr>
              <w:t>$620.7</w:t>
            </w:r>
          </w:p>
        </w:tc>
      </w:tr>
      <w:tr xmlns:wp14="http://schemas.microsoft.com/office/word/2010/wordml" w:rsidTr="73DA7CAF" w14:paraId="41370C99" wp14:textId="77777777">
        <w:tc>
          <w:tcPr>
            <w:tcW w:w="2340" w:type="dxa"/>
            <w:tcMar/>
            <w:vAlign w:val="center"/>
            <w:tcMar>
              <w:top w:w="70" w:type="dxa"/>
              <w:start w:w="90" w:type="dxa"/>
              <w:bottom w:w="70" w:type="dxa"/>
              <w:end w:w="90" w:type="dxa"/>
            </w:tcMar>
          </w:tcPr>
          <w:p w14:paraId="750C0777" wp14:textId="77777777">
            <w:pPr>
              <w:spacing w:after="0" w:line="240" w:lineRule="auto"/>
              <w:jc w:val="left"/>
            </w:pPr>
            <w:r>
              <w:rPr>
                <w:rFonts w:ascii="Times New Roman" w:hAnsi="Times New Roman" w:eastAsia="Times New Roman"/>
                <w:color w:val="000000"/>
                <w:sz w:val="24"/>
              </w:rPr>
              <w:t>Estimated Airbnb revenue at 14%</w:t>
            </w:r>
          </w:p>
        </w:tc>
        <w:tc>
          <w:tcPr>
            <w:tcW w:w="2340" w:type="dxa"/>
            <w:tcMar/>
            <w:vAlign w:val="center"/>
            <w:tcMar>
              <w:top w:w="70" w:type="dxa"/>
              <w:start w:w="90" w:type="dxa"/>
              <w:bottom w:w="70" w:type="dxa"/>
              <w:end w:w="90" w:type="dxa"/>
            </w:tcMar>
          </w:tcPr>
          <w:p w14:paraId="090B50DF" wp14:textId="77777777">
            <w:pPr>
              <w:spacing w:after="0" w:line="240" w:lineRule="auto"/>
              <w:jc w:val="center"/>
            </w:pPr>
            <w:r>
              <w:rPr>
                <w:rFonts w:ascii="Times New Roman" w:hAnsi="Times New Roman" w:eastAsia="Times New Roman"/>
                <w:color w:val="000000"/>
                <w:sz w:val="24"/>
              </w:rPr>
              <w:t>$12.6</w:t>
            </w:r>
          </w:p>
        </w:tc>
        <w:tc>
          <w:tcPr>
            <w:tcW w:w="2340" w:type="dxa"/>
            <w:tcMar/>
            <w:vAlign w:val="center"/>
            <w:tcMar>
              <w:top w:w="70" w:type="dxa"/>
              <w:start w:w="90" w:type="dxa"/>
              <w:bottom w:w="70" w:type="dxa"/>
              <w:end w:w="90" w:type="dxa"/>
            </w:tcMar>
          </w:tcPr>
          <w:p w14:paraId="1CA6AD08" wp14:textId="77777777">
            <w:pPr>
              <w:spacing w:after="0" w:line="240" w:lineRule="auto"/>
              <w:jc w:val="center"/>
            </w:pPr>
            <w:r>
              <w:rPr>
                <w:rFonts w:ascii="Times New Roman" w:hAnsi="Times New Roman" w:eastAsia="Times New Roman"/>
                <w:color w:val="000000"/>
                <w:sz w:val="24"/>
              </w:rPr>
              <w:t>$36.1</w:t>
            </w:r>
          </w:p>
        </w:tc>
        <w:tc>
          <w:tcPr>
            <w:tcW w:w="2340" w:type="dxa"/>
            <w:tcMar/>
            <w:vAlign w:val="center"/>
            <w:tcMar>
              <w:top w:w="70" w:type="dxa"/>
              <w:start w:w="90" w:type="dxa"/>
              <w:bottom w:w="70" w:type="dxa"/>
              <w:end w:w="90" w:type="dxa"/>
            </w:tcMar>
          </w:tcPr>
          <w:p w14:paraId="506B4AE7" wp14:textId="77777777">
            <w:pPr>
              <w:spacing w:after="0" w:line="240" w:lineRule="auto"/>
              <w:jc w:val="center"/>
            </w:pPr>
            <w:r>
              <w:rPr>
                <w:rFonts w:ascii="Times New Roman" w:hAnsi="Times New Roman" w:eastAsia="Times New Roman"/>
                <w:color w:val="000000"/>
                <w:sz w:val="24"/>
              </w:rPr>
              <w:t>$86.9</w:t>
            </w:r>
          </w:p>
        </w:tc>
      </w:tr>
      <w:tr xmlns:wp14="http://schemas.microsoft.com/office/word/2010/wordml" w:rsidTr="73DA7CAF" w14:paraId="7604FB5A" wp14:textId="77777777">
        <w:tc>
          <w:tcPr>
            <w:tcW w:w="2340" w:type="dxa"/>
            <w:tcMar/>
            <w:vAlign w:val="center"/>
            <w:tcMar>
              <w:top w:w="70" w:type="dxa"/>
              <w:start w:w="90" w:type="dxa"/>
              <w:bottom w:w="70" w:type="dxa"/>
              <w:end w:w="90" w:type="dxa"/>
            </w:tcMar>
          </w:tcPr>
          <w:p w14:paraId="71B57E2A" wp14:textId="77777777">
            <w:pPr>
              <w:spacing w:after="0" w:line="240" w:lineRule="auto"/>
              <w:jc w:val="left"/>
            </w:pPr>
            <w:r>
              <w:rPr>
                <w:rFonts w:ascii="Times New Roman" w:hAnsi="Times New Roman" w:eastAsia="Times New Roman"/>
                <w:color w:val="000000"/>
                <w:sz w:val="24"/>
              </w:rPr>
              <w:t>Program operating costs</w:t>
            </w:r>
          </w:p>
        </w:tc>
        <w:tc>
          <w:tcPr>
            <w:tcW w:w="2340" w:type="dxa"/>
            <w:tcMar/>
            <w:vAlign w:val="center"/>
            <w:tcMar>
              <w:top w:w="70" w:type="dxa"/>
              <w:start w:w="90" w:type="dxa"/>
              <w:bottom w:w="70" w:type="dxa"/>
              <w:end w:w="90" w:type="dxa"/>
            </w:tcMar>
          </w:tcPr>
          <w:p w14:paraId="00AA9E83" wp14:textId="77777777">
            <w:pPr>
              <w:spacing w:after="0" w:line="240" w:lineRule="auto"/>
              <w:jc w:val="center"/>
            </w:pPr>
            <w:r>
              <w:rPr>
                <w:rFonts w:ascii="Times New Roman" w:hAnsi="Times New Roman" w:eastAsia="Times New Roman"/>
                <w:color w:val="000000"/>
                <w:sz w:val="24"/>
              </w:rPr>
              <w:t>$28.0</w:t>
            </w:r>
          </w:p>
        </w:tc>
        <w:tc>
          <w:tcPr>
            <w:tcW w:w="2340" w:type="dxa"/>
            <w:tcMar/>
            <w:vAlign w:val="center"/>
            <w:tcMar>
              <w:top w:w="70" w:type="dxa"/>
              <w:start w:w="90" w:type="dxa"/>
              <w:bottom w:w="70" w:type="dxa"/>
              <w:end w:w="90" w:type="dxa"/>
            </w:tcMar>
          </w:tcPr>
          <w:p w14:paraId="07E08408" wp14:textId="77777777">
            <w:pPr>
              <w:spacing w:after="0" w:line="240" w:lineRule="auto"/>
              <w:jc w:val="center"/>
            </w:pPr>
            <w:r>
              <w:rPr>
                <w:rFonts w:ascii="Times New Roman" w:hAnsi="Times New Roman" w:eastAsia="Times New Roman"/>
                <w:color w:val="000000"/>
                <w:sz w:val="24"/>
              </w:rPr>
              <w:t>$32.0</w:t>
            </w:r>
          </w:p>
        </w:tc>
        <w:tc>
          <w:tcPr>
            <w:tcW w:w="2340" w:type="dxa"/>
            <w:tcMar/>
            <w:vAlign w:val="center"/>
            <w:tcMar>
              <w:top w:w="70" w:type="dxa"/>
              <w:start w:w="90" w:type="dxa"/>
              <w:bottom w:w="70" w:type="dxa"/>
              <w:end w:w="90" w:type="dxa"/>
            </w:tcMar>
          </w:tcPr>
          <w:p w14:paraId="0641D0D8" wp14:textId="77777777">
            <w:pPr>
              <w:spacing w:after="0" w:line="240" w:lineRule="auto"/>
              <w:jc w:val="center"/>
            </w:pPr>
            <w:r>
              <w:rPr>
                <w:rFonts w:ascii="Times New Roman" w:hAnsi="Times New Roman" w:eastAsia="Times New Roman"/>
                <w:color w:val="000000"/>
                <w:sz w:val="24"/>
              </w:rPr>
              <w:t>$48.0</w:t>
            </w:r>
          </w:p>
        </w:tc>
      </w:tr>
      <w:tr xmlns:wp14="http://schemas.microsoft.com/office/word/2010/wordml" w:rsidTr="73DA7CAF" w14:paraId="140C46E0" wp14:textId="77777777">
        <w:tc>
          <w:tcPr>
            <w:tcW w:w="2340" w:type="dxa"/>
            <w:tcMar/>
            <w:vAlign w:val="center"/>
            <w:tcMar>
              <w:top w:w="70" w:type="dxa"/>
              <w:start w:w="90" w:type="dxa"/>
              <w:bottom w:w="70" w:type="dxa"/>
              <w:end w:w="90" w:type="dxa"/>
            </w:tcMar>
          </w:tcPr>
          <w:p w14:paraId="1C888264" wp14:textId="77777777">
            <w:pPr>
              <w:spacing w:after="0" w:line="240" w:lineRule="auto"/>
              <w:jc w:val="left"/>
            </w:pPr>
            <w:r>
              <w:rPr>
                <w:rFonts w:ascii="Times New Roman" w:hAnsi="Times New Roman" w:eastAsia="Times New Roman"/>
                <w:color w:val="000000"/>
                <w:sz w:val="24"/>
              </w:rPr>
              <w:t>Illustrative program contribution</w:t>
            </w:r>
          </w:p>
        </w:tc>
        <w:tc>
          <w:tcPr>
            <w:tcW w:w="2340" w:type="dxa"/>
            <w:tcMar/>
            <w:vAlign w:val="center"/>
            <w:tcMar>
              <w:top w:w="70" w:type="dxa"/>
              <w:start w:w="90" w:type="dxa"/>
              <w:bottom w:w="70" w:type="dxa"/>
              <w:end w:w="90" w:type="dxa"/>
            </w:tcMar>
          </w:tcPr>
          <w:p w14:paraId="54D71F5D" wp14:textId="77777777">
            <w:pPr>
              <w:spacing w:after="0" w:line="240" w:lineRule="auto"/>
              <w:jc w:val="center"/>
            </w:pPr>
            <w:r>
              <w:rPr>
                <w:rFonts w:ascii="Times New Roman" w:hAnsi="Times New Roman" w:eastAsia="Times New Roman"/>
                <w:color w:val="000000"/>
                <w:sz w:val="24"/>
              </w:rPr>
              <w:t>($15.4)</w:t>
            </w:r>
          </w:p>
        </w:tc>
        <w:tc>
          <w:tcPr>
            <w:tcW w:w="2340" w:type="dxa"/>
            <w:tcMar/>
            <w:vAlign w:val="center"/>
            <w:tcMar>
              <w:top w:w="70" w:type="dxa"/>
              <w:start w:w="90" w:type="dxa"/>
              <w:bottom w:w="70" w:type="dxa"/>
              <w:end w:w="90" w:type="dxa"/>
            </w:tcMar>
          </w:tcPr>
          <w:p w14:paraId="461BAFDA" wp14:textId="77777777">
            <w:pPr>
              <w:spacing w:after="0" w:line="240" w:lineRule="auto"/>
              <w:jc w:val="center"/>
            </w:pPr>
            <w:r>
              <w:rPr>
                <w:rFonts w:ascii="Times New Roman" w:hAnsi="Times New Roman" w:eastAsia="Times New Roman"/>
                <w:color w:val="000000"/>
                <w:sz w:val="24"/>
              </w:rPr>
              <w:t>$4.1</w:t>
            </w:r>
          </w:p>
        </w:tc>
        <w:tc>
          <w:tcPr>
            <w:tcW w:w="2340" w:type="dxa"/>
            <w:tcMar/>
            <w:vAlign w:val="center"/>
            <w:tcMar>
              <w:top w:w="70" w:type="dxa"/>
              <w:start w:w="90" w:type="dxa"/>
              <w:bottom w:w="70" w:type="dxa"/>
              <w:end w:w="90" w:type="dxa"/>
            </w:tcMar>
          </w:tcPr>
          <w:p w14:paraId="10F027C2" wp14:textId="77777777">
            <w:pPr>
              <w:spacing w:after="0" w:line="240" w:lineRule="auto"/>
              <w:jc w:val="center"/>
            </w:pPr>
            <w:r>
              <w:rPr>
                <w:rFonts w:ascii="Times New Roman" w:hAnsi="Times New Roman" w:eastAsia="Times New Roman"/>
                <w:color w:val="000000"/>
                <w:sz w:val="24"/>
              </w:rPr>
              <w:t>$38.9</w:t>
            </w:r>
          </w:p>
        </w:tc>
      </w:tr>
      <w:tr xmlns:wp14="http://schemas.microsoft.com/office/word/2010/wordml" w:rsidTr="73DA7CAF" w14:paraId="6A87EEE1" wp14:textId="77777777">
        <w:tc>
          <w:tcPr>
            <w:tcW w:w="2340" w:type="dxa"/>
            <w:tcMar/>
            <w:vAlign w:val="center"/>
            <w:tcMar>
              <w:top w:w="70" w:type="dxa"/>
              <w:start w:w="90" w:type="dxa"/>
              <w:bottom w:w="70" w:type="dxa"/>
              <w:end w:w="90" w:type="dxa"/>
            </w:tcMar>
          </w:tcPr>
          <w:p w14:paraId="1775B737" wp14:textId="77777777">
            <w:pPr>
              <w:spacing w:after="0" w:line="240" w:lineRule="auto"/>
              <w:jc w:val="left"/>
            </w:pPr>
            <w:r>
              <w:rPr>
                <w:rFonts w:ascii="Times New Roman" w:hAnsi="Times New Roman" w:eastAsia="Times New Roman"/>
                <w:color w:val="000000"/>
                <w:sz w:val="24"/>
              </w:rPr>
              <w:t>Cumulative contribution</w:t>
            </w:r>
          </w:p>
        </w:tc>
        <w:tc>
          <w:tcPr>
            <w:tcW w:w="2340" w:type="dxa"/>
            <w:tcMar/>
            <w:vAlign w:val="center"/>
            <w:tcMar>
              <w:top w:w="70" w:type="dxa"/>
              <w:start w:w="90" w:type="dxa"/>
              <w:bottom w:w="70" w:type="dxa"/>
              <w:end w:w="90" w:type="dxa"/>
            </w:tcMar>
          </w:tcPr>
          <w:p w14:paraId="5710797D" wp14:textId="77777777">
            <w:pPr>
              <w:spacing w:after="0" w:line="240" w:lineRule="auto"/>
              <w:jc w:val="center"/>
            </w:pPr>
            <w:r>
              <w:rPr>
                <w:rFonts w:ascii="Times New Roman" w:hAnsi="Times New Roman" w:eastAsia="Times New Roman"/>
                <w:color w:val="000000"/>
                <w:sz w:val="24"/>
              </w:rPr>
              <w:t>($15.4)</w:t>
            </w:r>
          </w:p>
        </w:tc>
        <w:tc>
          <w:tcPr>
            <w:tcW w:w="2340" w:type="dxa"/>
            <w:tcMar/>
            <w:vAlign w:val="center"/>
            <w:tcMar>
              <w:top w:w="70" w:type="dxa"/>
              <w:start w:w="90" w:type="dxa"/>
              <w:bottom w:w="70" w:type="dxa"/>
              <w:end w:w="90" w:type="dxa"/>
            </w:tcMar>
          </w:tcPr>
          <w:p w14:paraId="69B53DF6" wp14:textId="77777777">
            <w:pPr>
              <w:spacing w:after="0" w:line="240" w:lineRule="auto"/>
              <w:jc w:val="center"/>
            </w:pPr>
            <w:r>
              <w:rPr>
                <w:rFonts w:ascii="Times New Roman" w:hAnsi="Times New Roman" w:eastAsia="Times New Roman"/>
                <w:color w:val="000000"/>
                <w:sz w:val="24"/>
              </w:rPr>
              <w:t>($11.3)</w:t>
            </w:r>
          </w:p>
        </w:tc>
        <w:tc>
          <w:tcPr>
            <w:tcW w:w="2340" w:type="dxa"/>
            <w:tcMar/>
            <w:vAlign w:val="center"/>
            <w:tcMar>
              <w:top w:w="70" w:type="dxa"/>
              <w:start w:w="90" w:type="dxa"/>
              <w:bottom w:w="70" w:type="dxa"/>
              <w:end w:w="90" w:type="dxa"/>
            </w:tcMar>
          </w:tcPr>
          <w:p w14:paraId="3FDA754D" wp14:textId="77777777">
            <w:pPr>
              <w:spacing w:after="0" w:line="240" w:lineRule="auto"/>
              <w:jc w:val="center"/>
            </w:pPr>
            <w:r>
              <w:rPr>
                <w:rFonts w:ascii="Times New Roman" w:hAnsi="Times New Roman" w:eastAsia="Times New Roman"/>
                <w:color w:val="000000"/>
                <w:sz w:val="24"/>
              </w:rPr>
              <w:t>$27.6</w:t>
            </w:r>
          </w:p>
        </w:tc>
      </w:tr>
    </w:tbl>
    <w:p xmlns:wp14="http://schemas.microsoft.com/office/word/2010/wordml" w14:paraId="57A4B9C0" wp14:textId="77777777">
      <w:pPr>
        <w:spacing w:before="0" w:after="0" w:line="240" w:lineRule="auto"/>
      </w:pPr>
      <w:r>
        <w:rPr>
          <w:rFonts w:ascii="Times New Roman" w:hAnsi="Times New Roman" w:eastAsia="Times New Roman"/>
          <w:color w:val="000000"/>
          <w:sz w:val="24"/>
        </w:rPr>
        <w:t>Note. Amounts are illustrative assumptions, not a company forecast. Gross booking value equals units multiplied by 12 months, occupancy, and average booked monthly value.</w:t>
      </w:r>
    </w:p>
    <w:p xmlns:wp14="http://schemas.microsoft.com/office/word/2010/wordml" w14:paraId="23EFA51E" wp14:textId="77777777">
      <w:pPr>
        <w:spacing w:before="0" w:after="0" w:line="480" w:lineRule="auto"/>
        <w:ind w:firstLine="720"/>
        <w:jc w:val="left"/>
      </w:pPr>
      <w:sdt>
        <w:sdtPr>
          <w:id w:val="1291024427"/>
          <w15:appearance w15:val="hidden"/>
          <w:tag w:val="tii-similarity-U1VCTUlUVEVEX1dPUktfb2lkOjI6ODU3NTg1MDA3"/>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The base case reaches annual break-even in Year 2 and cumulative break-</w:t>
          </w:r>
        </w:sdtContent>
      </w:sdt>
      <w:sdt>
        <w:sdtPr>
          <w:id w:val="887899833"/>
          <w15:appearance w15:val="hidden"/>
          <w:tag w:val="tii-similarity-U1VCTUlUVEVEX1dPUktfb2lkOjI6ODU3NTg1MDA3"/>
          <w:placeholder>
            <w:docPart w:val="DefaultPlaceholder_-1854013440"/>
          </w:placeholder>
        </w:sdtPr>
        <w:sdtContent>
          <w:r w:rsidRPr="73DA7CAF" w:rsidR="73DA7CAF">
            <w:rPr>
              <w:rFonts w:ascii="Times New Roman" w:hAnsi="Times New Roman" w:eastAsia="Times New Roman"/>
              <w:color w:val="000000" w:themeColor="text1" w:themeTint="FF" w:themeShade="FF"/>
              <w:sz w:val="24"/>
              <w:szCs w:val="24"/>
            </w:rPr>
            <w:t>even in Year 3</w:t>
          </w:r>
        </w:sdtContent>
      </w:sdt>
      <w:r w:rsidRPr="73DA7CAF" w:rsidR="73DA7CAF">
        <w:rPr>
          <w:rFonts w:ascii="Times New Roman" w:hAnsi="Times New Roman" w:eastAsia="Times New Roman"/>
          <w:color w:val="000000" w:themeColor="text1" w:themeTint="FF" w:themeShade="FF"/>
          <w:sz w:val="24"/>
          <w:szCs w:val="24"/>
        </w:rPr>
        <w:t>. A downside case with lower occupancy and a lower effective revenue rate would delay break-even, so expansion should depend on contribution rather than gross booking value alone.</w:t>
      </w:r>
    </w:p>
    <w:p xmlns:wp14="http://schemas.microsoft.com/office/word/2010/wordml" w14:paraId="049F31CB" wp14:textId="77777777">
      <w:r>
        <w:br w:type="page"/>
      </w:r>
    </w:p>
    <w:p xmlns:wp14="http://schemas.microsoft.com/office/word/2010/wordml" w14:paraId="07375CC2" wp14:textId="77777777">
      <w:pPr>
        <w:keepNext/>
        <w:spacing w:before="0" w:after="0" w:line="480" w:lineRule="auto"/>
        <w:jc w:val="center"/>
      </w:pPr>
      <w:r>
        <w:rPr>
          <w:rFonts w:ascii="Times New Roman" w:hAnsi="Times New Roman" w:eastAsia="Times New Roman"/>
          <w:b/>
          <w:color w:val="000000"/>
          <w:sz w:val="24"/>
        </w:rPr>
        <w:t>Metrics Risk Controls and Conclusion</w:t>
      </w:r>
    </w:p>
    <w:p xmlns:wp14="http://schemas.microsoft.com/office/word/2010/wordml" w14:paraId="511828E0" wp14:textId="77777777">
      <w:pPr>
        <w:spacing w:before="0" w:after="0" w:line="480" w:lineRule="auto"/>
        <w:ind w:firstLine="720"/>
        <w:jc w:val="left"/>
      </w:pPr>
      <w:r>
        <w:rPr>
          <w:rFonts w:ascii="Times New Roman" w:hAnsi="Times New Roman" w:eastAsia="Times New Roman"/>
          <w:color w:val="000000"/>
          <w:sz w:val="24"/>
        </w:rPr>
        <w:t>The quarterly scorecard should combine growth, service, compliance, and financial results. Measures should include qualified units, booked months, occupancy, repeat use, active business accounts, listing accuracy, cancellations, maintenance response, guest satisfaction, permit status, audit exceptions, acquisition cost, support cost, and contribution margin. Results should be compared with similar ordinary Airbnb listings in the same markets.</w:t>
      </w:r>
    </w:p>
    <w:p xmlns:wp14="http://schemas.microsoft.com/office/word/2010/wordml" w14:paraId="5F571935" wp14:textId="77777777">
      <w:pPr>
        <w:spacing w:before="0" w:after="0" w:line="480" w:lineRule="auto"/>
        <w:ind w:firstLine="720"/>
        <w:jc w:val="left"/>
      </w:pPr>
      <w:r>
        <w:rPr>
          <w:rFonts w:ascii="Times New Roman" w:hAnsi="Times New Roman" w:eastAsia="Times New Roman"/>
          <w:color w:val="000000"/>
          <w:sz w:val="24"/>
        </w:rPr>
        <w:t>The largest risks are regulatory misclassification, tenant or neighborhood harm, partner misconduct, weak demand, and reputational spillover (Prayag &amp; Ozanne, 2021). Legal market gates, property attestations, audits, concentration limits, insurance, removal rights, and a capped budget reduce those risks. Airbnb should require every mandatory permit and insurance document before activation and avoid claiming that longer stays are universally exempt from short-term rental law.</w:t>
      </w:r>
    </w:p>
    <w:p xmlns:wp14="http://schemas.microsoft.com/office/word/2010/wordml" w14:paraId="5803B274" wp14:textId="77777777">
      <w:pPr>
        <w:spacing w:before="0" w:after="0" w:line="480" w:lineRule="auto"/>
        <w:ind w:firstLine="720"/>
        <w:jc w:val="left"/>
      </w:pPr>
      <w:r>
        <w:rPr>
          <w:rFonts w:ascii="Times New Roman" w:hAnsi="Times New Roman" w:eastAsia="Times New Roman"/>
          <w:color w:val="000000"/>
          <w:sz w:val="24"/>
        </w:rPr>
        <w:t>The recommendation follows from the analysis. The BCG diagnosis supports using a portion of core cash generation for a related pilot. The SWOT diagnosis determines the design: asset-light partnerships, professional standards, longer stays, legal gates, and measurable oversight. Airbnb should launch in a small number of approved markets and expand only after meeting service, compliance, demand, and contribution targets. If the pilot fails those gates, management can stop with limited capital exposure and apply the learning to the core marketplace.</w:t>
      </w:r>
    </w:p>
    <w:p xmlns:wp14="http://schemas.microsoft.com/office/word/2010/wordml" w14:paraId="53128261" wp14:textId="77777777">
      <w:r>
        <w:br w:type="page"/>
      </w:r>
    </w:p>
    <w:p xmlns:wp14="http://schemas.microsoft.com/office/word/2010/wordml" w14:paraId="071E4E01" wp14:textId="77777777">
      <w:pPr>
        <w:keepNext/>
        <w:spacing w:before="0" w:after="0" w:line="480" w:lineRule="auto"/>
        <w:jc w:val="center"/>
      </w:pPr>
      <w:r>
        <w:rPr>
          <w:rFonts w:ascii="Times New Roman" w:hAnsi="Times New Roman" w:eastAsia="Times New Roman"/>
          <w:b/>
          <w:color w:val="000000"/>
          <w:sz w:val="24"/>
        </w:rPr>
        <w:t>References</w:t>
      </w:r>
    </w:p>
    <w:p w:rsidR="73DA7CAF" w:rsidP="73DA7CAF" w:rsidRDefault="73DA7CAF" w14:paraId="60BB62A3" w14:textId="0331F672">
      <w:pPr>
        <w:spacing w:before="0" w:after="0" w:line="480" w:lineRule="auto"/>
        <w:ind w:left="720" w:hanging="720"/>
        <w:rPr>
          <w:rStyle w:val="Hyperlink"/>
          <w:i w:val="0"/>
          <w:iCs w:val="0"/>
        </w:rPr>
      </w:pPr>
      <w:r w:rsidRPr="73DA7CAF" w:rsidR="73DA7CAF">
        <w:rPr>
          <w:rFonts w:ascii="Times New Roman" w:hAnsi="Times New Roman" w:eastAsia="Times New Roman"/>
          <w:i w:val="0"/>
          <w:iCs w:val="0"/>
          <w:color w:val="000000" w:themeColor="text1" w:themeTint="FF" w:themeShade="FF"/>
          <w:sz w:val="24"/>
          <w:szCs w:val="24"/>
        </w:rPr>
        <w:t xml:space="preserve">Airbnb, Inc. (2026). </w:t>
      </w:r>
      <w:r w:rsidRPr="73DA7CAF" w:rsidR="73DA7CAF">
        <w:rPr>
          <w:rFonts w:ascii="Times New Roman" w:hAnsi="Times New Roman" w:eastAsia="Times New Roman"/>
          <w:i w:val="1"/>
          <w:iCs w:val="1"/>
          <w:color w:val="000000" w:themeColor="text1" w:themeTint="FF" w:themeShade="FF"/>
          <w:sz w:val="24"/>
          <w:szCs w:val="24"/>
        </w:rPr>
        <w:t xml:space="preserve">2025 </w:t>
      </w:r>
      <w:sdt>
        <w:sdtPr>
          <w:id w:val="1747796568"/>
          <w15:appearance w15:val="hidden"/>
          <w:tag w:val="tii-similarity-U1VCTUlUVEVEX1dPUktfb2lkOjMxMTc6NTk3NjI4OTE3"/>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annual report (Form 10-K)</w:t>
          </w:r>
          <w:r w:rsidRPr="73DA7CAF" w:rsidR="73DA7CAF">
            <w:rPr>
              <w:rFonts w:ascii="Times New Roman" w:hAnsi="Times New Roman" w:eastAsia="Times New Roman"/>
              <w:i w:val="0"/>
              <w:iCs w:val="0"/>
              <w:color w:val="000000" w:themeColor="text1" w:themeTint="FF" w:themeShade="FF"/>
              <w:sz w:val="24"/>
              <w:szCs w:val="24"/>
            </w:rPr>
            <w:t>. U.S. Securities and</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1055482150"/>
          <w15:appearance w15:val="hidden"/>
          <w:tag w:val="tii-similarity-U1VCTUlUVEVEX1dPUktfb2lkOjMxMTc6NTk3NjI4OTE3"/>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Exchange Commission.</w:t>
          </w:r>
        </w:sdtContent>
      </w:sdt>
      <w:r w:rsidRPr="73DA7CAF" w:rsidR="73DA7CAF">
        <w:rPr>
          <w:rFonts w:ascii="Times New Roman" w:hAnsi="Times New Roman" w:eastAsia="Times New Roman"/>
          <w:i w:val="0"/>
          <w:iCs w:val="0"/>
          <w:color w:val="000000" w:themeColor="text1" w:themeTint="FF" w:themeShade="FF"/>
          <w:sz w:val="24"/>
          <w:szCs w:val="24"/>
        </w:rPr>
        <w:t xml:space="preserve"> </w:t>
      </w:r>
      <w:hyperlink r:id="Rbdb68122e6914f07">
        <w:sdt>
          <w:sdtPr>
            <w:id w:val="1461987655"/>
            <w15:appearance w15:val="hidden"/>
            <w:tag w:val="tii-similarity-U1VCTUlUVEVEX1dPUktfb2lkOjMxMTc6NTk3NjI4OTE3"/>
            <w:placeholder>
              <w:docPart w:val="DefaultPlaceholder_-1854013440"/>
            </w:placeholder>
          </w:sdtPr>
          <w:sdtContent>
            <w:r w:rsidRPr="73DA7CAF" w:rsidR="73DA7CAF">
              <w:rPr>
                <w:rStyle w:val="Hyperlink"/>
                <w:i w:val="0"/>
                <w:iCs w:val="0"/>
              </w:rPr>
              <w:t>https://www.sec.gov/Archives/edgar/data/1559720</w:t>
            </w:r>
          </w:sdtContent>
        </w:sdt>
        <w:r w:rsidRPr="73DA7CAF" w:rsidR="73DA7CAF">
          <w:rPr>
            <w:rStyle w:val="Hyperlink"/>
            <w:i w:val="0"/>
            <w:iCs w:val="0"/>
          </w:rPr>
          <w:t>/000155972026000004/</w:t>
        </w:r>
        <w:sdt>
          <w:sdtPr>
            <w:id w:val="2063671591"/>
            <w15:appearance w15:val="hidden"/>
            <w:tag w:val="tii-similarity-U1VCTUlUVEVEX1dPUktfb2lkOjMxMTc6NTk3NjI4OTE3"/>
            <w:placeholder>
              <w:docPart w:val="DefaultPlaceholder_-1854013440"/>
            </w:placeholder>
          </w:sdtPr>
          <w:sdtContent>
            <w:r w:rsidRPr="73DA7CAF" w:rsidR="73DA7CAF">
              <w:rPr>
                <w:rStyle w:val="Hyperlink"/>
                <w:i w:val="0"/>
                <w:iCs w:val="0"/>
              </w:rPr>
              <w:t>abnb</w:t>
            </w:r>
          </w:sdtContent>
        </w:sdt>
        <w:r w:rsidRPr="73DA7CAF" w:rsidR="73DA7CAF">
          <w:rPr>
            <w:rStyle w:val="Hyperlink"/>
            <w:i w:val="0"/>
            <w:iCs w:val="0"/>
          </w:rPr>
          <w:t>-20251231.</w:t>
        </w:r>
        <w:sdt>
          <w:sdtPr>
            <w:id w:val="1082585517"/>
            <w15:appearance w15:val="hidden"/>
            <w:tag w:val="tii-similarity-U1VCTUlUVEVEX1dPUktfb2lkOjMxMTc6NTk3NjI4OTE3"/>
            <w:placeholder>
              <w:docPart w:val="DefaultPlaceholder_-1854013440"/>
            </w:placeholder>
          </w:sdtPr>
          <w:sdtContent>
            <w:r w:rsidRPr="73DA7CAF" w:rsidR="73DA7CAF">
              <w:rPr>
                <w:rStyle w:val="Hyperlink"/>
                <w:i w:val="0"/>
                <w:iCs w:val="0"/>
              </w:rPr>
              <w:t>htm</w:t>
            </w:r>
          </w:sdtContent>
        </w:sdt>
      </w:hyperlink>
    </w:p>
    <w:p w:rsidR="73DA7CAF" w:rsidP="73DA7CAF" w:rsidRDefault="73DA7CAF" w14:paraId="59DB1E44" w14:textId="0F787412">
      <w:pPr>
        <w:spacing w:before="0" w:after="0" w:line="480" w:lineRule="auto"/>
        <w:ind w:left="720" w:hanging="720"/>
        <w:rPr>
          <w:rStyle w:val="Hyperlink"/>
          <w:i w:val="0"/>
          <w:iCs w:val="0"/>
        </w:rPr>
      </w:pPr>
      <w:sdt>
        <w:sdtPr>
          <w:id w:val="435917330"/>
          <w15:appearance w15:val="hidden"/>
          <w:tag w:val="tii-similarity-U1VCTUlUVEVEX1dPUktfb2lkOjMxMTc6NTk3NjI4OTE3"/>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Bei, G., &amp; Celata, F. (2023). Challenges and effects of short-term</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324608453"/>
          <w15:appearance w15:val="hidden"/>
          <w:tag w:val="tii-similarity-U1VCTUlUVEVEX1dPUktfb2lkOjMxMTc6NTk3NjI4OTE3"/>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rentals</w:t>
          </w:r>
          <w:r w:rsidRPr="73DA7CAF" w:rsidR="73DA7CAF">
            <w:rPr>
              <w:rFonts w:ascii="Times New Roman" w:hAnsi="Times New Roman" w:eastAsia="Times New Roman"/>
              <w:i w:val="0"/>
              <w:iCs w:val="0"/>
              <w:color w:val="000000" w:themeColor="text1" w:themeTint="FF" w:themeShade="FF"/>
              <w:sz w:val="24"/>
              <w:szCs w:val="24"/>
            </w:rPr>
            <w:t xml:space="preserve"> regulation: A counterfactual assessment of European cities.</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282906771"/>
          <w15:appearance w15:val="hidden"/>
          <w:tag w:val="tii-similarity-U1VCTUlUVEVEX1dPUktfb2lkOjMxMTc6NTk3NjI4OTE3"/>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Annals of Tourism Research, 101</w:t>
          </w:r>
          <w:r w:rsidRPr="73DA7CAF" w:rsidR="73DA7CAF">
            <w:rPr>
              <w:rFonts w:ascii="Times New Roman" w:hAnsi="Times New Roman" w:eastAsia="Times New Roman"/>
              <w:i w:val="0"/>
              <w:iCs w:val="0"/>
              <w:color w:val="000000" w:themeColor="text1" w:themeTint="FF" w:themeShade="FF"/>
              <w:sz w:val="24"/>
              <w:szCs w:val="24"/>
            </w:rPr>
            <w:t>, Article 103605.</w:t>
          </w:r>
        </w:sdtContent>
      </w:sdt>
      <w:r w:rsidRPr="73DA7CAF" w:rsidR="73DA7CAF">
        <w:rPr>
          <w:rFonts w:ascii="Times New Roman" w:hAnsi="Times New Roman" w:eastAsia="Times New Roman"/>
          <w:i w:val="0"/>
          <w:iCs w:val="0"/>
          <w:color w:val="000000" w:themeColor="text1" w:themeTint="FF" w:themeShade="FF"/>
          <w:sz w:val="24"/>
          <w:szCs w:val="24"/>
        </w:rPr>
        <w:t xml:space="preserve"> </w:t>
      </w:r>
      <w:hyperlink r:id="Rc9ee215e7ee345bd">
        <w:sdt>
          <w:sdtPr>
            <w:id w:val="1558813931"/>
            <w15:appearance w15:val="hidden"/>
            <w:tag w:val="tii-similarity-U1VCTUlUVEVEX1dPUktfb2lkOjMxMTc6NTk3NjI4OTE3"/>
            <w:placeholder>
              <w:docPart w:val="DefaultPlaceholder_-1854013440"/>
            </w:placeholder>
          </w:sdtPr>
          <w:sdtContent>
            <w:r w:rsidRPr="73DA7CAF" w:rsidR="73DA7CAF">
              <w:rPr>
                <w:rStyle w:val="Hyperlink"/>
                <w:i w:val="0"/>
                <w:iCs w:val="0"/>
              </w:rPr>
              <w:t>https://doi.org/10.1016/j.annals.2023.103605</w:t>
            </w:r>
          </w:sdtContent>
        </w:sdt>
      </w:hyperlink>
    </w:p>
    <w:p w:rsidR="73DA7CAF" w:rsidP="73DA7CAF" w:rsidRDefault="73DA7CAF" w14:paraId="348A6FAE" w14:textId="1C642F5A">
      <w:pPr>
        <w:spacing w:before="0" w:after="0" w:line="480" w:lineRule="auto"/>
        <w:ind w:left="720" w:hanging="720"/>
        <w:rPr>
          <w:rStyle w:val="Hyperlink"/>
          <w:i w:val="0"/>
          <w:iCs w:val="0"/>
        </w:rPr>
      </w:pPr>
      <w:sdt>
        <w:sdtPr>
          <w:id w:val="524345721"/>
          <w15:appearance w15:val="hidden"/>
          <w:tag w:val="tii-similarity-U1VCTUlUVEVEX1dPUktfb2lkOjI6ODQxMzgwMzg4"/>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Dogru</w:t>
          </w:r>
          <w:r w:rsidRPr="73DA7CAF" w:rsidR="73DA7CAF">
            <w:rPr>
              <w:rFonts w:ascii="Times New Roman" w:hAnsi="Times New Roman" w:eastAsia="Times New Roman"/>
              <w:i w:val="0"/>
              <w:iCs w:val="0"/>
              <w:color w:val="000000" w:themeColor="text1" w:themeTint="FF" w:themeShade="FF"/>
              <w:sz w:val="24"/>
              <w:szCs w:val="24"/>
            </w:rPr>
            <w:t>, T., Mody, M., &amp; Suess, C. (2019). Adding evidence to the debate:</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482953431"/>
          <w15:appearance w15:val="hidden"/>
          <w:tag w:val="tii-similarity-U1VCTUlUVEVEX1dPUktfb2lkOjI6ODQxMzgwMzg4"/>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Quantifying Airbnb's disruptive impact on ten key hotel markets. </w:t>
          </w:r>
          <w:r w:rsidRPr="73DA7CAF" w:rsidR="73DA7CAF">
            <w:rPr>
              <w:rFonts w:ascii="Times New Roman" w:hAnsi="Times New Roman" w:eastAsia="Times New Roman"/>
              <w:i w:val="1"/>
              <w:iCs w:val="1"/>
              <w:color w:val="000000" w:themeColor="text1" w:themeTint="FF" w:themeShade="FF"/>
              <w:sz w:val="24"/>
              <w:szCs w:val="24"/>
            </w:rPr>
            <w:t>Tourism</w:t>
          </w:r>
        </w:sdtContent>
      </w:sdt>
      <w:r w:rsidRPr="73DA7CAF" w:rsidR="73DA7CAF">
        <w:rPr>
          <w:rFonts w:ascii="Times New Roman" w:hAnsi="Times New Roman" w:eastAsia="Times New Roman"/>
          <w:i w:val="1"/>
          <w:iCs w:val="1"/>
          <w:color w:val="000000" w:themeColor="text1" w:themeTint="FF" w:themeShade="FF"/>
          <w:sz w:val="24"/>
          <w:szCs w:val="24"/>
        </w:rPr>
        <w:t xml:space="preserve"> </w:t>
      </w:r>
      <w:sdt>
        <w:sdtPr>
          <w:id w:val="675231476"/>
          <w15:appearance w15:val="hidden"/>
          <w:tag w:val="tii-similarity-U1VCTUlUVEVEX1dPUktfb2lkOjI6ODQxMzgwMzg4"/>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Management, 72</w:t>
          </w:r>
          <w:r w:rsidRPr="73DA7CAF" w:rsidR="73DA7CAF">
            <w:rPr>
              <w:rFonts w:ascii="Times New Roman" w:hAnsi="Times New Roman" w:eastAsia="Times New Roman"/>
              <w:i w:val="0"/>
              <w:iCs w:val="0"/>
              <w:color w:val="000000" w:themeColor="text1" w:themeTint="FF" w:themeShade="FF"/>
              <w:sz w:val="24"/>
              <w:szCs w:val="24"/>
            </w:rPr>
            <w:t xml:space="preserve">, 27-38. </w:t>
          </w:r>
          <w:hyperlink r:id="R27912a36601942c1">
            <w:r w:rsidRPr="73DA7CAF" w:rsidR="73DA7CAF">
              <w:rPr>
                <w:rStyle w:val="Hyperlink"/>
                <w:i w:val="0"/>
                <w:iCs w:val="0"/>
              </w:rPr>
              <w:t>https://doi.org/10.1016/j.tourman.2018.11.008</w:t>
            </w:r>
          </w:hyperlink>
        </w:sdtContent>
      </w:sdt>
    </w:p>
    <w:p w:rsidR="73DA7CAF" w:rsidP="73DA7CAF" w:rsidRDefault="73DA7CAF" w14:paraId="6BCC9D37" w14:textId="5175C9E0">
      <w:pPr>
        <w:spacing w:before="0" w:after="0" w:line="480" w:lineRule="auto"/>
        <w:ind w:left="720" w:hanging="720"/>
        <w:rPr>
          <w:rStyle w:val="Hyperlink"/>
          <w:i w:val="0"/>
          <w:iCs w:val="0"/>
        </w:rPr>
      </w:pPr>
      <w:sdt>
        <w:sdtPr>
          <w:id w:val="94637221"/>
          <w15:appearance w15:val="hidden"/>
          <w:tag w:val="tii-similarity-U1VCTUlUVEVEX1dPUktfb2lkOjI6ODQxMzgwMzg4"/>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Dogru</w:t>
          </w:r>
          <w:r w:rsidRPr="73DA7CAF" w:rsidR="73DA7CAF">
            <w:rPr>
              <w:rFonts w:ascii="Times New Roman" w:hAnsi="Times New Roman" w:eastAsia="Times New Roman"/>
              <w:i w:val="0"/>
              <w:iCs w:val="0"/>
              <w:color w:val="000000" w:themeColor="text1" w:themeTint="FF" w:themeShade="FF"/>
              <w:sz w:val="24"/>
              <w:szCs w:val="24"/>
            </w:rPr>
            <w:t>, T., Mody, M., Suess, C., Line, N., &amp; Bonn, M. (2020). Airbnb 2.0:</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1792836367"/>
          <w15:appearance w15:val="hidden"/>
          <w:tag w:val="tii-similarity-U1VCTUlUVEVEX1dPUktfb2lkOjI6ODQxMzgwMzg4"/>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Is it a sharing economy platform or a lodging corporation? </w:t>
          </w:r>
          <w:r w:rsidRPr="73DA7CAF" w:rsidR="73DA7CAF">
            <w:rPr>
              <w:rFonts w:ascii="Times New Roman" w:hAnsi="Times New Roman" w:eastAsia="Times New Roman"/>
              <w:i w:val="1"/>
              <w:iCs w:val="1"/>
              <w:color w:val="000000" w:themeColor="text1" w:themeTint="FF" w:themeShade="FF"/>
              <w:sz w:val="24"/>
              <w:szCs w:val="24"/>
            </w:rPr>
            <w:t>Tourism</w:t>
          </w:r>
        </w:sdtContent>
      </w:sdt>
      <w:r w:rsidRPr="73DA7CAF" w:rsidR="73DA7CAF">
        <w:rPr>
          <w:rFonts w:ascii="Times New Roman" w:hAnsi="Times New Roman" w:eastAsia="Times New Roman"/>
          <w:i w:val="1"/>
          <w:iCs w:val="1"/>
          <w:color w:val="000000" w:themeColor="text1" w:themeTint="FF" w:themeShade="FF"/>
          <w:sz w:val="24"/>
          <w:szCs w:val="24"/>
        </w:rPr>
        <w:t xml:space="preserve"> </w:t>
      </w:r>
      <w:sdt>
        <w:sdtPr>
          <w:id w:val="80533520"/>
          <w15:appearance w15:val="hidden"/>
          <w:tag w:val="tii-similarity-U1VCTUlUVEVEX1dPUktfb2lkOjI6ODQxMzgwMzg4"/>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Management, 78</w:t>
          </w:r>
        </w:sdtContent>
      </w:sdt>
      <w:r w:rsidRPr="73DA7CAF" w:rsidR="73DA7CAF">
        <w:rPr>
          <w:rFonts w:ascii="Times New Roman" w:hAnsi="Times New Roman" w:eastAsia="Times New Roman"/>
          <w:i w:val="0"/>
          <w:iCs w:val="0"/>
          <w:color w:val="000000" w:themeColor="text1" w:themeTint="FF" w:themeShade="FF"/>
          <w:sz w:val="24"/>
          <w:szCs w:val="24"/>
        </w:rPr>
        <w:t xml:space="preserve">, Article 104049. </w:t>
      </w:r>
      <w:hyperlink r:id="R94a5510098f54ab4">
        <w:sdt>
          <w:sdtPr>
            <w:id w:val="1376143453"/>
            <w15:appearance w15:val="hidden"/>
            <w:tag w:val="tii-similarity-U1VCTUlUVEVEX1dPUktfb2lkOjI6ODQxMzgwMzg4"/>
            <w:placeholder>
              <w:docPart w:val="DefaultPlaceholder_-1854013440"/>
            </w:placeholder>
          </w:sdtPr>
          <w:sdtContent>
            <w:r w:rsidRPr="73DA7CAF" w:rsidR="73DA7CAF">
              <w:rPr>
                <w:rStyle w:val="Hyperlink"/>
                <w:i w:val="0"/>
                <w:iCs w:val="0"/>
              </w:rPr>
              <w:t>https://doi.org/10.1016/j.tourman.2019.104049</w:t>
            </w:r>
          </w:sdtContent>
        </w:sdt>
      </w:hyperlink>
    </w:p>
    <w:p xmlns:wp14="http://schemas.microsoft.com/office/word/2010/wordml" w:rsidP="73DA7CAF" w14:paraId="66B0F84B" wp14:textId="77777777">
      <w:pPr>
        <w:spacing w:before="0" w:after="0" w:line="480" w:lineRule="auto"/>
        <w:ind w:left="720" w:hanging="720"/>
        <w:rPr>
          <w:rFonts w:ascii="Times New Roman" w:hAnsi="Times New Roman" w:eastAsia="Times New Roman"/>
          <w:i w:val="0"/>
          <w:iCs w:val="0"/>
          <w:color w:val="000000" w:themeColor="text1" w:themeTint="FF" w:themeShade="FF"/>
          <w:sz w:val="24"/>
          <w:szCs w:val="24"/>
        </w:rPr>
      </w:pPr>
      <w:sdt>
        <w:sdtPr>
          <w:id w:val="400409751"/>
          <w15:appearance w15:val="hidden"/>
          <w:tag w:val="tii-similarity-U1VCTUlUVEVEX1dPUktfb2lkOjc2NTM6NDE5ODE4Nzg3"/>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Grant, R. M. (2022). </w:t>
          </w:r>
          <w:r w:rsidRPr="73DA7CAF" w:rsidR="73DA7CAF">
            <w:rPr>
              <w:rFonts w:ascii="Times New Roman" w:hAnsi="Times New Roman" w:eastAsia="Times New Roman"/>
              <w:i w:val="1"/>
              <w:iCs w:val="1"/>
              <w:color w:val="000000" w:themeColor="text1" w:themeTint="FF" w:themeShade="FF"/>
              <w:sz w:val="24"/>
              <w:szCs w:val="24"/>
            </w:rPr>
            <w:t>Contemporary strategy analysis (11th</w:t>
          </w:r>
        </w:sdtContent>
      </w:sdt>
      <w:r w:rsidRPr="73DA7CAF" w:rsidR="73DA7CAF">
        <w:rPr>
          <w:rFonts w:ascii="Times New Roman" w:hAnsi="Times New Roman" w:eastAsia="Times New Roman"/>
          <w:i w:val="1"/>
          <w:iCs w:val="1"/>
          <w:color w:val="000000" w:themeColor="text1" w:themeTint="FF" w:themeShade="FF"/>
          <w:sz w:val="24"/>
          <w:szCs w:val="24"/>
        </w:rPr>
        <w:t xml:space="preserve"> </w:t>
      </w:r>
      <w:sdt>
        <w:sdtPr>
          <w:id w:val="1985593441"/>
          <w15:appearance w15:val="hidden"/>
          <w:tag w:val="tii-similarity-U1VCTUlUVEVEX1dPUktfb2lkOjE6MzMxMTIyMjg5Ng=="/>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ed.)</w:t>
          </w:r>
          <w:r w:rsidRPr="73DA7CAF" w:rsidR="73DA7CAF">
            <w:rPr>
              <w:rFonts w:ascii="Times New Roman" w:hAnsi="Times New Roman" w:eastAsia="Times New Roman"/>
              <w:i w:val="0"/>
              <w:iCs w:val="0"/>
              <w:color w:val="000000" w:themeColor="text1" w:themeTint="FF" w:themeShade="FF"/>
              <w:sz w:val="24"/>
              <w:szCs w:val="24"/>
            </w:rPr>
            <w:t>. John</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1045446682"/>
          <w15:appearance w15:val="hidden"/>
          <w:tag w:val="tii-similarity-U1VCTUlUVEVEX1dPUktfb2lkOjE6MzMxMTIyMjg5Ng=="/>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Wiley &amp; Sons.</w:t>
          </w:r>
        </w:sdtContent>
      </w:sdt>
    </w:p>
    <w:p w:rsidR="73DA7CAF" w:rsidP="73DA7CAF" w:rsidRDefault="73DA7CAF" w14:paraId="72D7FC37" w14:textId="32C3104F">
      <w:pPr>
        <w:spacing w:before="0" w:after="0" w:line="480" w:lineRule="auto"/>
        <w:ind w:left="720" w:hanging="720"/>
        <w:rPr>
          <w:rStyle w:val="Hyperlink"/>
          <w:i w:val="0"/>
          <w:iCs w:val="0"/>
        </w:rPr>
      </w:pPr>
      <w:sdt>
        <w:sdtPr>
          <w:id w:val="1644565387"/>
          <w15:appearance w15:val="hidden"/>
          <w:tag w:val="tii-similarity-U1VCTUlUVEVEX1dPUktfb2lkOjE6MzMxMTIyMjg5Ng=="/>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Guttentag, D. (2015). Airbnb: Disruptive innovation and the rise of an</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1854868362"/>
          <w15:appearance w15:val="hidden"/>
          <w:tag w:val="tii-similarity-U1VCTUlUVEVEX1dPUktfb2lkOjE6MzMxMTIyMjg5Ng=="/>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informal tourism accommodation sector. </w:t>
          </w:r>
          <w:r w:rsidRPr="73DA7CAF" w:rsidR="73DA7CAF">
            <w:rPr>
              <w:rFonts w:ascii="Times New Roman" w:hAnsi="Times New Roman" w:eastAsia="Times New Roman"/>
              <w:i w:val="1"/>
              <w:iCs w:val="1"/>
              <w:color w:val="000000" w:themeColor="text1" w:themeTint="FF" w:themeShade="FF"/>
              <w:sz w:val="24"/>
              <w:szCs w:val="24"/>
            </w:rPr>
            <w:t>Current Issues in Tourism, 18</w:t>
          </w:r>
          <w:r w:rsidRPr="73DA7CAF" w:rsidR="73DA7CAF">
            <w:rPr>
              <w:rFonts w:ascii="Times New Roman" w:hAnsi="Times New Roman" w:eastAsia="Times New Roman"/>
              <w:i w:val="0"/>
              <w:iCs w:val="0"/>
              <w:color w:val="000000" w:themeColor="text1" w:themeTint="FF" w:themeShade="FF"/>
              <w:sz w:val="24"/>
              <w:szCs w:val="24"/>
            </w:rPr>
            <w:t>(12),</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1301206221"/>
          <w15:appearance w15:val="hidden"/>
          <w:tag w:val="tii-similarity-U1VCTUlUVEVEX1dPUktfb2lkOjE6MzMxMTIyMjg5Ng=="/>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1192-1217. </w:t>
          </w:r>
          <w:hyperlink r:id="R05943b1992f2482c">
            <w:r w:rsidRPr="73DA7CAF" w:rsidR="73DA7CAF">
              <w:rPr>
                <w:rStyle w:val="Hyperlink"/>
                <w:i w:val="0"/>
                <w:iCs w:val="0"/>
              </w:rPr>
              <w:t>https://doi.org/10.1080/13683500.2013.827159</w:t>
            </w:r>
          </w:hyperlink>
        </w:sdtContent>
      </w:sdt>
    </w:p>
    <w:p xmlns:wp14="http://schemas.microsoft.com/office/word/2010/wordml" w14:paraId="62486C05" wp14:textId="77777777">
      <w:r>
        <w:br w:type="page"/>
      </w:r>
    </w:p>
    <w:p xmlns:wp14="http://schemas.microsoft.com/office/word/2010/wordml" w14:paraId="476E51CF" wp14:textId="77777777">
      <w:pPr>
        <w:keepNext/>
        <w:spacing w:before="0" w:after="0" w:line="480" w:lineRule="auto"/>
        <w:jc w:val="center"/>
      </w:pPr>
      <w:r>
        <w:rPr>
          <w:rFonts w:ascii="Times New Roman" w:hAnsi="Times New Roman" w:eastAsia="Times New Roman"/>
          <w:b/>
          <w:color w:val="000000"/>
          <w:sz w:val="24"/>
        </w:rPr>
        <w:t>References</w:t>
      </w:r>
    </w:p>
    <w:p w:rsidR="73DA7CAF" w:rsidP="73DA7CAF" w:rsidRDefault="73DA7CAF" w14:paraId="20DB934F" w14:textId="3E95B5E3">
      <w:pPr>
        <w:spacing w:before="0" w:after="0" w:line="480" w:lineRule="auto"/>
        <w:ind w:left="720" w:hanging="720"/>
        <w:rPr>
          <w:rStyle w:val="Hyperlink"/>
          <w:i w:val="0"/>
          <w:iCs w:val="0"/>
        </w:rPr>
      </w:pPr>
      <w:sdt>
        <w:sdtPr>
          <w:id w:val="947609816"/>
          <w15:appearance w15:val="hidden"/>
          <w:tag w:val="tii-similarity-U1VCTUlUVEVEX1dPUktfb2lkOjE6MTQ4ODUwMjY2Mw=="/>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Möhlmann</w:t>
          </w:r>
          <w:r w:rsidRPr="73DA7CAF" w:rsidR="73DA7CAF">
            <w:rPr>
              <w:rFonts w:ascii="Times New Roman" w:hAnsi="Times New Roman" w:eastAsia="Times New Roman"/>
              <w:i w:val="0"/>
              <w:iCs w:val="0"/>
              <w:color w:val="000000" w:themeColor="text1" w:themeTint="FF" w:themeShade="FF"/>
              <w:sz w:val="24"/>
              <w:szCs w:val="24"/>
            </w:rPr>
            <w:t>, M. (2015). Collaborative consumption: Determinants of</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949627474"/>
          <w15:appearance w15:val="hidden"/>
          <w:tag w:val="tii-similarity-U1VCTUlUVEVEX1dPUktfb2lkOjE6MTQ4ODUwMjY2Mw=="/>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satisfaction and the likelihood of using a </w:t>
          </w:r>
          <w:r w:rsidRPr="73DA7CAF" w:rsidR="73DA7CAF">
            <w:rPr>
              <w:rFonts w:ascii="Times New Roman" w:hAnsi="Times New Roman" w:eastAsia="Times New Roman"/>
              <w:i w:val="0"/>
              <w:iCs w:val="0"/>
              <w:color w:val="000000" w:themeColor="text1" w:themeTint="FF" w:themeShade="FF"/>
              <w:sz w:val="24"/>
              <w:szCs w:val="24"/>
            </w:rPr>
            <w:t>sharing</w:t>
          </w:r>
          <w:r w:rsidRPr="73DA7CAF" w:rsidR="73DA7CAF">
            <w:rPr>
              <w:rFonts w:ascii="Times New Roman" w:hAnsi="Times New Roman" w:eastAsia="Times New Roman"/>
              <w:i w:val="0"/>
              <w:iCs w:val="0"/>
              <w:color w:val="000000" w:themeColor="text1" w:themeTint="FF" w:themeShade="FF"/>
              <w:sz w:val="24"/>
              <w:szCs w:val="24"/>
            </w:rPr>
            <w:t xml:space="preserve"> economy </w:t>
          </w:r>
          <w:r w:rsidRPr="73DA7CAF" w:rsidR="73DA7CAF">
            <w:rPr>
              <w:rFonts w:ascii="Times New Roman" w:hAnsi="Times New Roman" w:eastAsia="Times New Roman"/>
              <w:i w:val="0"/>
              <w:iCs w:val="0"/>
              <w:color w:val="000000" w:themeColor="text1" w:themeTint="FF" w:themeShade="FF"/>
              <w:sz w:val="24"/>
              <w:szCs w:val="24"/>
            </w:rPr>
            <w:t>option</w:t>
          </w:r>
          <w:r w:rsidRPr="73DA7CAF" w:rsidR="73DA7CAF">
            <w:rPr>
              <w:rFonts w:ascii="Times New Roman" w:hAnsi="Times New Roman" w:eastAsia="Times New Roman"/>
              <w:i w:val="0"/>
              <w:iCs w:val="0"/>
              <w:color w:val="000000" w:themeColor="text1" w:themeTint="FF" w:themeShade="FF"/>
              <w:sz w:val="24"/>
              <w:szCs w:val="24"/>
            </w:rPr>
            <w:t xml:space="preserve"> again.</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2035999230"/>
          <w15:appearance w15:val="hidden"/>
          <w:tag w:val="tii-similarity-U1VCTUlUVEVEX1dPUktfb2lkOjE6MTQ4ODUwMjY2Mw=="/>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 xml:space="preserve">Journal of Consumer </w:t>
          </w:r>
          <w:r w:rsidRPr="73DA7CAF" w:rsidR="73DA7CAF">
            <w:rPr>
              <w:rFonts w:ascii="Times New Roman" w:hAnsi="Times New Roman" w:eastAsia="Times New Roman"/>
              <w:i w:val="1"/>
              <w:iCs w:val="1"/>
              <w:color w:val="000000" w:themeColor="text1" w:themeTint="FF" w:themeShade="FF"/>
              <w:sz w:val="24"/>
              <w:szCs w:val="24"/>
            </w:rPr>
            <w:t>Behaviour</w:t>
          </w:r>
          <w:r w:rsidRPr="73DA7CAF" w:rsidR="73DA7CAF">
            <w:rPr>
              <w:rFonts w:ascii="Times New Roman" w:hAnsi="Times New Roman" w:eastAsia="Times New Roman"/>
              <w:i w:val="1"/>
              <w:iCs w:val="1"/>
              <w:color w:val="000000" w:themeColor="text1" w:themeTint="FF" w:themeShade="FF"/>
              <w:sz w:val="24"/>
              <w:szCs w:val="24"/>
            </w:rPr>
            <w:t>, 14</w:t>
          </w:r>
          <w:r w:rsidRPr="73DA7CAF" w:rsidR="73DA7CAF">
            <w:rPr>
              <w:rFonts w:ascii="Times New Roman" w:hAnsi="Times New Roman" w:eastAsia="Times New Roman"/>
              <w:i w:val="0"/>
              <w:iCs w:val="0"/>
              <w:color w:val="000000" w:themeColor="text1" w:themeTint="FF" w:themeShade="FF"/>
              <w:sz w:val="24"/>
              <w:szCs w:val="24"/>
            </w:rPr>
            <w:t>(3), 193-207.</w:t>
          </w:r>
        </w:sdtContent>
      </w:sdt>
      <w:r w:rsidRPr="73DA7CAF" w:rsidR="73DA7CAF">
        <w:rPr>
          <w:rFonts w:ascii="Times New Roman" w:hAnsi="Times New Roman" w:eastAsia="Times New Roman"/>
          <w:i w:val="0"/>
          <w:iCs w:val="0"/>
          <w:color w:val="000000" w:themeColor="text1" w:themeTint="FF" w:themeShade="FF"/>
          <w:sz w:val="24"/>
          <w:szCs w:val="24"/>
        </w:rPr>
        <w:t xml:space="preserve"> </w:t>
      </w:r>
      <w:hyperlink r:id="R70d75719a2b1447c">
        <w:sdt>
          <w:sdtPr>
            <w:id w:val="147810541"/>
            <w15:appearance w15:val="hidden"/>
            <w:tag w:val="tii-similarity-U1VCTUlUVEVEX1dPUktfb2lkOjE6MTQ4ODUwMjY2Mw=="/>
            <w:placeholder>
              <w:docPart w:val="DefaultPlaceholder_-1854013440"/>
            </w:placeholder>
          </w:sdtPr>
          <w:sdtContent>
            <w:r w:rsidRPr="73DA7CAF" w:rsidR="73DA7CAF">
              <w:rPr>
                <w:rStyle w:val="Hyperlink"/>
                <w:i w:val="0"/>
                <w:iCs w:val="0"/>
              </w:rPr>
              <w:t>https://doi.org/10.1002/cb.1512</w:t>
            </w:r>
          </w:sdtContent>
        </w:sdt>
      </w:hyperlink>
    </w:p>
    <w:p w:rsidR="73DA7CAF" w:rsidP="73DA7CAF" w:rsidRDefault="73DA7CAF" w14:paraId="5569D783" w14:textId="410EF8FB">
      <w:pPr>
        <w:spacing w:before="0" w:after="0" w:line="480" w:lineRule="auto"/>
        <w:ind w:left="720" w:hanging="720"/>
        <w:rPr>
          <w:rStyle w:val="Hyperlink"/>
          <w:i w:val="0"/>
          <w:iCs w:val="0"/>
        </w:rPr>
      </w:pPr>
      <w:r w:rsidRPr="73DA7CAF" w:rsidR="73DA7CAF">
        <w:rPr>
          <w:rFonts w:ascii="Times New Roman" w:hAnsi="Times New Roman" w:eastAsia="Times New Roman"/>
          <w:i w:val="0"/>
          <w:iCs w:val="0"/>
          <w:color w:val="000000" w:themeColor="text1" w:themeTint="FF" w:themeShade="FF"/>
          <w:sz w:val="24"/>
          <w:szCs w:val="24"/>
        </w:rPr>
        <w:t>Prayag, G., &amp; Ozanne, L. K. (</w:t>
      </w:r>
      <w:sdt>
        <w:sdtPr>
          <w:id w:val="1593240646"/>
          <w15:appearance w15:val="hidden"/>
          <w:tag w:val="tii-similarity-SU5URVJORVRfY3phc29waXNtYS51bmkubG9kei5wbA=="/>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2021). A decade of systematic literature</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314157211"/>
          <w15:appearance w15:val="hidden"/>
          <w:tag w:val="tii-similarity-SU5URVJORVRfY3phc29waXNtYS51bmkubG9kei5wbA=="/>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review on Airbnb: The sharing economy from a multiple stakeholder</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1866864221"/>
          <w15:appearance w15:val="hidden"/>
          <w:tag w:val="tii-similarity-SU5URVJORVRfY3phc29waXNtYS51bmkubG9kei5wbA=="/>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perspective. </w:t>
          </w:r>
          <w:r w:rsidRPr="73DA7CAF" w:rsidR="73DA7CAF">
            <w:rPr>
              <w:rFonts w:ascii="Times New Roman" w:hAnsi="Times New Roman" w:eastAsia="Times New Roman"/>
              <w:i w:val="1"/>
              <w:iCs w:val="1"/>
              <w:color w:val="000000" w:themeColor="text1" w:themeTint="FF" w:themeShade="FF"/>
              <w:sz w:val="24"/>
              <w:szCs w:val="24"/>
            </w:rPr>
            <w:t>Heliyon</w:t>
          </w:r>
          <w:r w:rsidRPr="73DA7CAF" w:rsidR="73DA7CAF">
            <w:rPr>
              <w:rFonts w:ascii="Times New Roman" w:hAnsi="Times New Roman" w:eastAsia="Times New Roman"/>
              <w:i w:val="1"/>
              <w:iCs w:val="1"/>
              <w:color w:val="000000" w:themeColor="text1" w:themeTint="FF" w:themeShade="FF"/>
              <w:sz w:val="24"/>
              <w:szCs w:val="24"/>
            </w:rPr>
            <w:t>, 7</w:t>
          </w:r>
          <w:r w:rsidRPr="73DA7CAF" w:rsidR="73DA7CAF">
            <w:rPr>
              <w:rFonts w:ascii="Times New Roman" w:hAnsi="Times New Roman" w:eastAsia="Times New Roman"/>
              <w:i w:val="0"/>
              <w:iCs w:val="0"/>
              <w:color w:val="000000" w:themeColor="text1" w:themeTint="FF" w:themeShade="FF"/>
              <w:sz w:val="24"/>
              <w:szCs w:val="24"/>
            </w:rPr>
            <w:t>(10), Article e08222.</w:t>
          </w:r>
        </w:sdtContent>
      </w:sdt>
      <w:r w:rsidRPr="73DA7CAF" w:rsidR="73DA7CAF">
        <w:rPr>
          <w:rFonts w:ascii="Times New Roman" w:hAnsi="Times New Roman" w:eastAsia="Times New Roman"/>
          <w:i w:val="0"/>
          <w:iCs w:val="0"/>
          <w:color w:val="000000" w:themeColor="text1" w:themeTint="FF" w:themeShade="FF"/>
          <w:sz w:val="24"/>
          <w:szCs w:val="24"/>
        </w:rPr>
        <w:t xml:space="preserve"> </w:t>
      </w:r>
      <w:hyperlink r:id="R9d5d5e8acb60443b">
        <w:sdt>
          <w:sdtPr>
            <w:id w:val="2043537907"/>
            <w15:appearance w15:val="hidden"/>
            <w:tag w:val="tii-similarity-SU5URVJORVRfY3phc29waXNtYS51bmkubG9kei5wbA=="/>
            <w:placeholder>
              <w:docPart w:val="DefaultPlaceholder_-1854013440"/>
            </w:placeholder>
          </w:sdtPr>
          <w:sdtContent>
            <w:r w:rsidRPr="73DA7CAF" w:rsidR="73DA7CAF">
              <w:rPr>
                <w:rStyle w:val="Hyperlink"/>
                <w:i w:val="0"/>
                <w:iCs w:val="0"/>
              </w:rPr>
              <w:t>https://doi.org/10.1016/j.heliyon.2021.e08222</w:t>
            </w:r>
          </w:sdtContent>
        </w:sdt>
      </w:hyperlink>
    </w:p>
    <w:p w:rsidR="73DA7CAF" w:rsidP="73DA7CAF" w:rsidRDefault="73DA7CAF" w14:paraId="3DB2C8A9" w14:textId="71CE311E">
      <w:pPr>
        <w:spacing w:before="0" w:after="0" w:line="480" w:lineRule="auto"/>
        <w:ind w:left="720" w:hanging="720"/>
        <w:rPr>
          <w:rStyle w:val="Hyperlink"/>
          <w:i w:val="0"/>
          <w:iCs w:val="0"/>
        </w:rPr>
      </w:pPr>
      <w:sdt>
        <w:sdtPr>
          <w:id w:val="1150337977"/>
          <w15:appearance w15:val="hidden"/>
          <w:tag w:val="tii-similarity-U1VCTUlUVEVEX1dPUktfb2lkOjE6MjI2MTQ2MjAwOA=="/>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Täuscher</w:t>
          </w:r>
          <w:r w:rsidRPr="73DA7CAF" w:rsidR="73DA7CAF">
            <w:rPr>
              <w:rFonts w:ascii="Times New Roman" w:hAnsi="Times New Roman" w:eastAsia="Times New Roman"/>
              <w:i w:val="0"/>
              <w:iCs w:val="0"/>
              <w:color w:val="000000" w:themeColor="text1" w:themeTint="FF" w:themeShade="FF"/>
              <w:sz w:val="24"/>
              <w:szCs w:val="24"/>
            </w:rPr>
            <w:t xml:space="preserve">, K., &amp; </w:t>
          </w:r>
          <w:r w:rsidRPr="73DA7CAF" w:rsidR="73DA7CAF">
            <w:rPr>
              <w:rFonts w:ascii="Times New Roman" w:hAnsi="Times New Roman" w:eastAsia="Times New Roman"/>
              <w:i w:val="0"/>
              <w:iCs w:val="0"/>
              <w:color w:val="000000" w:themeColor="text1" w:themeTint="FF" w:themeShade="FF"/>
              <w:sz w:val="24"/>
              <w:szCs w:val="24"/>
            </w:rPr>
            <w:t>Laudien</w:t>
          </w:r>
          <w:r w:rsidRPr="73DA7CAF" w:rsidR="73DA7CAF">
            <w:rPr>
              <w:rFonts w:ascii="Times New Roman" w:hAnsi="Times New Roman" w:eastAsia="Times New Roman"/>
              <w:i w:val="0"/>
              <w:iCs w:val="0"/>
              <w:color w:val="000000" w:themeColor="text1" w:themeTint="FF" w:themeShade="FF"/>
              <w:sz w:val="24"/>
              <w:szCs w:val="24"/>
            </w:rPr>
            <w:t>, S. M. (2018). Understanding platform business</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720973319"/>
          <w15:appearance w15:val="hidden"/>
          <w:tag w:val="tii-similarity-U1VCTUlUVEVEX1dPUktfb2lkOjE6MjI2MTQ2MjAwOA=="/>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models: A mixed </w:t>
          </w:r>
          <w:r w:rsidRPr="73DA7CAF" w:rsidR="73DA7CAF">
            <w:rPr>
              <w:rFonts w:ascii="Times New Roman" w:hAnsi="Times New Roman" w:eastAsia="Times New Roman"/>
              <w:i w:val="0"/>
              <w:iCs w:val="0"/>
              <w:color w:val="000000" w:themeColor="text1" w:themeTint="FF" w:themeShade="FF"/>
              <w:sz w:val="24"/>
              <w:szCs w:val="24"/>
            </w:rPr>
            <w:t>methods</w:t>
          </w:r>
          <w:r w:rsidRPr="73DA7CAF" w:rsidR="73DA7CAF">
            <w:rPr>
              <w:rFonts w:ascii="Times New Roman" w:hAnsi="Times New Roman" w:eastAsia="Times New Roman"/>
              <w:i w:val="0"/>
              <w:iCs w:val="0"/>
              <w:color w:val="000000" w:themeColor="text1" w:themeTint="FF" w:themeShade="FF"/>
              <w:sz w:val="24"/>
              <w:szCs w:val="24"/>
            </w:rPr>
            <w:t xml:space="preserve"> study of marketplaces. </w:t>
          </w:r>
          <w:r w:rsidRPr="73DA7CAF" w:rsidR="73DA7CAF">
            <w:rPr>
              <w:rFonts w:ascii="Times New Roman" w:hAnsi="Times New Roman" w:eastAsia="Times New Roman"/>
              <w:i w:val="1"/>
              <w:iCs w:val="1"/>
              <w:color w:val="000000" w:themeColor="text1" w:themeTint="FF" w:themeShade="FF"/>
              <w:sz w:val="24"/>
              <w:szCs w:val="24"/>
            </w:rPr>
            <w:t>European Management</w:t>
          </w:r>
        </w:sdtContent>
      </w:sdt>
      <w:r w:rsidRPr="73DA7CAF" w:rsidR="73DA7CAF">
        <w:rPr>
          <w:rFonts w:ascii="Times New Roman" w:hAnsi="Times New Roman" w:eastAsia="Times New Roman"/>
          <w:i w:val="1"/>
          <w:iCs w:val="1"/>
          <w:color w:val="000000" w:themeColor="text1" w:themeTint="FF" w:themeShade="FF"/>
          <w:sz w:val="24"/>
          <w:szCs w:val="24"/>
        </w:rPr>
        <w:t xml:space="preserve"> </w:t>
      </w:r>
      <w:sdt>
        <w:sdtPr>
          <w:id w:val="1807968616"/>
          <w15:appearance w15:val="hidden"/>
          <w:tag w:val="tii-similarity-U1VCTUlUVEVEX1dPUktfb2lkOjE6MjI2MTQ2MjAwOA=="/>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Journal, 36</w:t>
          </w:r>
          <w:r w:rsidRPr="73DA7CAF" w:rsidR="73DA7CAF">
            <w:rPr>
              <w:rFonts w:ascii="Times New Roman" w:hAnsi="Times New Roman" w:eastAsia="Times New Roman"/>
              <w:i w:val="0"/>
              <w:iCs w:val="0"/>
              <w:color w:val="000000" w:themeColor="text1" w:themeTint="FF" w:themeShade="FF"/>
              <w:sz w:val="24"/>
              <w:szCs w:val="24"/>
            </w:rPr>
            <w:t xml:space="preserve">(3), 319-329. </w:t>
          </w:r>
          <w:hyperlink r:id="R42657341e4df422b">
            <w:r w:rsidRPr="73DA7CAF" w:rsidR="73DA7CAF">
              <w:rPr>
                <w:rStyle w:val="Hyperlink"/>
                <w:i w:val="0"/>
                <w:iCs w:val="0"/>
              </w:rPr>
              <w:t>https://doi.org/10.1016/j.emj.2017.06.005</w:t>
            </w:r>
          </w:hyperlink>
        </w:sdtContent>
      </w:sdt>
    </w:p>
    <w:p w:rsidR="73DA7CAF" w:rsidP="73DA7CAF" w:rsidRDefault="73DA7CAF" w14:paraId="41A2A7D9" w14:textId="240AE010">
      <w:pPr>
        <w:spacing w:before="0" w:after="0" w:line="480" w:lineRule="auto"/>
        <w:ind w:left="720" w:hanging="720"/>
        <w:rPr>
          <w:rStyle w:val="Hyperlink"/>
          <w:i w:val="0"/>
          <w:iCs w:val="0"/>
        </w:rPr>
      </w:pPr>
      <w:sdt>
        <w:sdtPr>
          <w:id w:val="919342561"/>
          <w15:appearance w15:val="hidden"/>
          <w:tag w:val="tii-similarity-U1VCTUlUVEVEX1dPUktfb2lkOjE6MjI2MTQ2MjAwOA=="/>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Zeng, J., </w:t>
          </w:r>
          <w:r w:rsidRPr="73DA7CAF" w:rsidR="73DA7CAF">
            <w:rPr>
              <w:rFonts w:ascii="Times New Roman" w:hAnsi="Times New Roman" w:eastAsia="Times New Roman"/>
              <w:i w:val="0"/>
              <w:iCs w:val="0"/>
              <w:color w:val="000000" w:themeColor="text1" w:themeTint="FF" w:themeShade="FF"/>
              <w:sz w:val="24"/>
              <w:szCs w:val="24"/>
            </w:rPr>
            <w:t>Tavalaei</w:t>
          </w:r>
          <w:r w:rsidRPr="73DA7CAF" w:rsidR="73DA7CAF">
            <w:rPr>
              <w:rFonts w:ascii="Times New Roman" w:hAnsi="Times New Roman" w:eastAsia="Times New Roman"/>
              <w:i w:val="0"/>
              <w:iCs w:val="0"/>
              <w:color w:val="000000" w:themeColor="text1" w:themeTint="FF" w:themeShade="FF"/>
              <w:sz w:val="24"/>
              <w:szCs w:val="24"/>
            </w:rPr>
            <w:t>, M</w:t>
          </w:r>
        </w:sdtContent>
      </w:sdt>
      <w:r w:rsidRPr="73DA7CAF" w:rsidR="73DA7CAF">
        <w:rPr>
          <w:rFonts w:ascii="Times New Roman" w:hAnsi="Times New Roman" w:eastAsia="Times New Roman"/>
          <w:i w:val="0"/>
          <w:iCs w:val="0"/>
          <w:color w:val="000000" w:themeColor="text1" w:themeTint="FF" w:themeShade="FF"/>
          <w:sz w:val="24"/>
          <w:szCs w:val="24"/>
        </w:rPr>
        <w:t xml:space="preserve">. M., &amp; </w:t>
      </w:r>
      <w:sdt>
        <w:sdtPr>
          <w:id w:val="302960291"/>
          <w15:appearance w15:val="hidden"/>
          <w:tag w:val="tii-similarity-U1VCTUlUVEVEX1dPUktfb2lkOjE6MjI2MTQ2MjAwOA=="/>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Khan, Z. (2021). Sharing economy platform</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2138810937"/>
          <w15:appearance w15:val="hidden"/>
          <w:tag w:val="tii-similarity-U1VCTUlUVEVEX1dPUktfb2lkOjE6MjI2MTQ2MjAwOA=="/>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firms and their resource orchestration approaches. </w:t>
          </w:r>
          <w:r w:rsidRPr="73DA7CAF" w:rsidR="73DA7CAF">
            <w:rPr>
              <w:rFonts w:ascii="Times New Roman" w:hAnsi="Times New Roman" w:eastAsia="Times New Roman"/>
              <w:i w:val="1"/>
              <w:iCs w:val="1"/>
              <w:color w:val="000000" w:themeColor="text1" w:themeTint="FF" w:themeShade="FF"/>
              <w:sz w:val="24"/>
              <w:szCs w:val="24"/>
            </w:rPr>
            <w:t>Journal of Business</w:t>
          </w:r>
        </w:sdtContent>
      </w:sdt>
      <w:r w:rsidRPr="73DA7CAF" w:rsidR="73DA7CAF">
        <w:rPr>
          <w:rFonts w:ascii="Times New Roman" w:hAnsi="Times New Roman" w:eastAsia="Times New Roman"/>
          <w:i w:val="1"/>
          <w:iCs w:val="1"/>
          <w:color w:val="000000" w:themeColor="text1" w:themeTint="FF" w:themeShade="FF"/>
          <w:sz w:val="24"/>
          <w:szCs w:val="24"/>
        </w:rPr>
        <w:t xml:space="preserve"> </w:t>
      </w:r>
      <w:sdt>
        <w:sdtPr>
          <w:id w:val="1536185315"/>
          <w15:appearance w15:val="hidden"/>
          <w:tag w:val="tii-similarity-U1VCTUlUVEVEX1dPUktfb2lkOjE6MjI2MTQ2MjAwOA=="/>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Research, 136</w:t>
          </w:r>
          <w:r w:rsidRPr="73DA7CAF" w:rsidR="73DA7CAF">
            <w:rPr>
              <w:rFonts w:ascii="Times New Roman" w:hAnsi="Times New Roman" w:eastAsia="Times New Roman"/>
              <w:i w:val="0"/>
              <w:iCs w:val="0"/>
              <w:color w:val="000000" w:themeColor="text1" w:themeTint="FF" w:themeShade="FF"/>
              <w:sz w:val="24"/>
              <w:szCs w:val="24"/>
            </w:rPr>
            <w:t xml:space="preserve">, 451-465. </w:t>
          </w:r>
          <w:hyperlink r:id="Rb41c5446a4e248bb">
            <w:r w:rsidRPr="73DA7CAF" w:rsidR="73DA7CAF">
              <w:rPr>
                <w:rStyle w:val="Hyperlink"/>
                <w:i w:val="0"/>
                <w:iCs w:val="0"/>
              </w:rPr>
              <w:t>https://doi.org/10.1016/j.jbusres.2021.07.054</w:t>
            </w:r>
          </w:hyperlink>
        </w:sdtContent>
      </w:sdt>
    </w:p>
    <w:p w:rsidR="73DA7CAF" w:rsidP="73DA7CAF" w:rsidRDefault="73DA7CAF" w14:paraId="37BF6B3B" w14:textId="4CFBB977">
      <w:pPr>
        <w:spacing w:before="0" w:after="0" w:line="480" w:lineRule="auto"/>
        <w:ind w:left="720" w:hanging="720"/>
        <w:rPr>
          <w:rStyle w:val="Hyperlink"/>
          <w:i w:val="0"/>
          <w:iCs w:val="0"/>
        </w:rPr>
      </w:pPr>
      <w:sdt>
        <w:sdtPr>
          <w:id w:val="1217603174"/>
          <w15:appearance w15:val="hidden"/>
          <w:tag w:val="tii-similarity-SU5URVJORVRfcmVzZWFyY2gtcmVwb3NpdG9yeS5ncmlmZml0aC5lZHUuYXU="/>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Zervas, G., </w:t>
          </w:r>
          <w:r w:rsidRPr="73DA7CAF" w:rsidR="73DA7CAF">
            <w:rPr>
              <w:rFonts w:ascii="Times New Roman" w:hAnsi="Times New Roman" w:eastAsia="Times New Roman"/>
              <w:i w:val="0"/>
              <w:iCs w:val="0"/>
              <w:color w:val="000000" w:themeColor="text1" w:themeTint="FF" w:themeShade="FF"/>
              <w:sz w:val="24"/>
              <w:szCs w:val="24"/>
            </w:rPr>
            <w:t>Proserpio</w:t>
          </w:r>
          <w:r w:rsidRPr="73DA7CAF" w:rsidR="73DA7CAF">
            <w:rPr>
              <w:rFonts w:ascii="Times New Roman" w:hAnsi="Times New Roman" w:eastAsia="Times New Roman"/>
              <w:i w:val="0"/>
              <w:iCs w:val="0"/>
              <w:color w:val="000000" w:themeColor="text1" w:themeTint="FF" w:themeShade="FF"/>
              <w:sz w:val="24"/>
              <w:szCs w:val="24"/>
            </w:rPr>
            <w:t>, D., &amp; Byers, J. W. (2017). The rise of the sharing</w:t>
          </w:r>
        </w:sdtContent>
      </w:sdt>
      <w:r w:rsidRPr="73DA7CAF" w:rsidR="73DA7CAF">
        <w:rPr>
          <w:rFonts w:ascii="Times New Roman" w:hAnsi="Times New Roman" w:eastAsia="Times New Roman"/>
          <w:i w:val="0"/>
          <w:iCs w:val="0"/>
          <w:color w:val="000000" w:themeColor="text1" w:themeTint="FF" w:themeShade="FF"/>
          <w:sz w:val="24"/>
          <w:szCs w:val="24"/>
        </w:rPr>
        <w:t xml:space="preserve"> </w:t>
      </w:r>
      <w:sdt>
        <w:sdtPr>
          <w:id w:val="2131841581"/>
          <w15:appearance w15:val="hidden"/>
          <w:tag w:val="tii-similarity-SU5URVJORVRfcmVzZWFyY2gtcmVwb3NpdG9yeS5ncmlmZml0aC5lZHUuYXU="/>
          <w:placeholder>
            <w:docPart w:val="DefaultPlaceholder_-1854013440"/>
          </w:placeholder>
        </w:sdtPr>
        <w:sdtContent>
          <w:r w:rsidRPr="73DA7CAF" w:rsidR="73DA7CAF">
            <w:rPr>
              <w:rFonts w:ascii="Times New Roman" w:hAnsi="Times New Roman" w:eastAsia="Times New Roman"/>
              <w:i w:val="0"/>
              <w:iCs w:val="0"/>
              <w:color w:val="000000" w:themeColor="text1" w:themeTint="FF" w:themeShade="FF"/>
              <w:sz w:val="24"/>
              <w:szCs w:val="24"/>
            </w:rPr>
            <w:t xml:space="preserve">economy: Estimating the impact of Airbnb on the hotel industry. </w:t>
          </w:r>
          <w:r w:rsidRPr="73DA7CAF" w:rsidR="73DA7CAF">
            <w:rPr>
              <w:rFonts w:ascii="Times New Roman" w:hAnsi="Times New Roman" w:eastAsia="Times New Roman"/>
              <w:i w:val="1"/>
              <w:iCs w:val="1"/>
              <w:color w:val="000000" w:themeColor="text1" w:themeTint="FF" w:themeShade="FF"/>
              <w:sz w:val="24"/>
              <w:szCs w:val="24"/>
            </w:rPr>
            <w:t>Journal</w:t>
          </w:r>
        </w:sdtContent>
      </w:sdt>
      <w:r w:rsidRPr="73DA7CAF" w:rsidR="73DA7CAF">
        <w:rPr>
          <w:rFonts w:ascii="Times New Roman" w:hAnsi="Times New Roman" w:eastAsia="Times New Roman"/>
          <w:i w:val="1"/>
          <w:iCs w:val="1"/>
          <w:color w:val="000000" w:themeColor="text1" w:themeTint="FF" w:themeShade="FF"/>
          <w:sz w:val="24"/>
          <w:szCs w:val="24"/>
        </w:rPr>
        <w:t xml:space="preserve"> </w:t>
      </w:r>
      <w:sdt>
        <w:sdtPr>
          <w:id w:val="828757711"/>
          <w15:appearance w15:val="hidden"/>
          <w:tag w:val="tii-similarity-SU5URVJORVRfcmVzZWFyY2gtcmVwb3NpdG9yeS5ncmlmZml0aC5lZHUuYXU="/>
          <w:placeholder>
            <w:docPart w:val="DefaultPlaceholder_-1854013440"/>
          </w:placeholder>
        </w:sdtPr>
        <w:sdtContent>
          <w:r w:rsidRPr="73DA7CAF" w:rsidR="73DA7CAF">
            <w:rPr>
              <w:rFonts w:ascii="Times New Roman" w:hAnsi="Times New Roman" w:eastAsia="Times New Roman"/>
              <w:i w:val="1"/>
              <w:iCs w:val="1"/>
              <w:color w:val="000000" w:themeColor="text1" w:themeTint="FF" w:themeShade="FF"/>
              <w:sz w:val="24"/>
              <w:szCs w:val="24"/>
            </w:rPr>
            <w:t>of Marketing Research, 54</w:t>
          </w:r>
          <w:r w:rsidRPr="73DA7CAF" w:rsidR="73DA7CAF">
            <w:rPr>
              <w:rFonts w:ascii="Times New Roman" w:hAnsi="Times New Roman" w:eastAsia="Times New Roman"/>
              <w:i w:val="0"/>
              <w:iCs w:val="0"/>
              <w:color w:val="000000" w:themeColor="text1" w:themeTint="FF" w:themeShade="FF"/>
              <w:sz w:val="24"/>
              <w:szCs w:val="24"/>
            </w:rPr>
            <w:t>(5), 687-705.</w:t>
          </w:r>
        </w:sdtContent>
      </w:sdt>
      <w:r w:rsidRPr="73DA7CAF" w:rsidR="73DA7CAF">
        <w:rPr>
          <w:rFonts w:ascii="Times New Roman" w:hAnsi="Times New Roman" w:eastAsia="Times New Roman"/>
          <w:i w:val="0"/>
          <w:iCs w:val="0"/>
          <w:color w:val="000000" w:themeColor="text1" w:themeTint="FF" w:themeShade="FF"/>
          <w:sz w:val="24"/>
          <w:szCs w:val="24"/>
        </w:rPr>
        <w:t xml:space="preserve"> </w:t>
      </w:r>
      <w:hyperlink r:id="R45f5ef6bc4d7480c">
        <w:sdt>
          <w:sdtPr>
            <w:id w:val="1344501379"/>
            <w15:appearance w15:val="hidden"/>
            <w:tag w:val="tii-similarity-SU5URVJORVRfcmVzZWFyY2gtcmVwb3NpdG9yeS5ncmlmZml0aC5lZHUuYXU="/>
            <w:placeholder>
              <w:docPart w:val="DefaultPlaceholder_-1854013440"/>
            </w:placeholder>
          </w:sdtPr>
          <w:sdtContent>
            <w:r w:rsidRPr="73DA7CAF" w:rsidR="73DA7CAF">
              <w:rPr>
                <w:rStyle w:val="Hyperlink"/>
                <w:i w:val="0"/>
                <w:iCs w:val="0"/>
              </w:rPr>
              <w:t>https://doi.org/10.1509/jmr.15.0204</w:t>
            </w:r>
          </w:sdtContent>
        </w:sdt>
      </w:hyperlink>
    </w:p>
    <w:sectPr w:rsidRPr="0006063C" w:rsidR="00FC693F" w:rsidSect="00034616">
      <w:headerReference w:type="default" r:id="rId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133EDD17" wp14:textId="77777777">
    <w:pPr>
      <w:pStyle w:val="Header"/>
      <w:jc w:val="right"/>
    </w:pPr>
    <w:r>
      <w:rPr>
        <w:rFonts w:ascii="Times New Roman" w:hAnsi="Times New Roman" w:eastAsia="Times New Roman"/>
        <w:color w:val="000000"/>
        <w:sz w:val="24"/>
      </w:rPr>
      <w:fldChar w:fldCharType="begin"/>
    </w:r>
    <w:r>
      <w:rPr>
        <w:rFonts w:ascii="Times New Roman" w:hAnsi="Times New Roman" w:eastAsia="Times New Roman"/>
        <w:color w:val="000000"/>
        <w:sz w:val="24"/>
      </w:rPr>
      <w:instrText xml:space="preserve">PAGE</w:instrText>
    </w:r>
    <w:r>
      <w:rPr>
        <w:rFonts w:ascii="Times New Roman" w:hAnsi="Times New Roman" w:eastAsia="Times New Roman"/>
        <w:color w:val="000000"/>
        <w:sz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4D8D3B5"/>
    <w:rsid w:val="3DA20D20"/>
    <w:rsid w:val="3DA20D20"/>
    <w:rsid w:val="63040F65"/>
    <w:rsid w:val="73DA7CAF"/>
    <w:rsid w:val="753B3E76"/>
    <w:rsid w:val="7B19E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2C739735-9212-4286-A78E-CD8C162504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asciiTheme="majorHAnsi" w:hAnsiTheme="majorHAnsi" w:eastAsiaTheme="majorEastAsia"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asciiTheme="majorHAnsi" w:hAnsiTheme="majorHAnsi" w:eastAsiaTheme="majorEastAsia"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imes New Roman" w:hAnsi="Times New Roman" w:eastAsia="Times New Roman" w:asciiTheme="majorHAnsi" w:hAnsiTheme="majorHAnsi" w:eastAsiaTheme="majorEastAsia" w:cstheme="majorBidi"/>
      <w:color w:val="000000"/>
      <w:spacing w:val="5"/>
      <w:kern w:val="28"/>
      <w:sz w:val="2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uiPriority w:val="99"/>
    <w:name w:val="Hyperlink"/>
    <w:basedOn w:val="DefaultParagraphFont"/>
    <w:unhideWhenUsed/>
    <w:rsid w:val="73DA7CAF"/>
    <w:rPr>
      <w:color w:val="0000FF"/>
      <w:u w:val="single"/>
    </w:rPr>
  </w:style>
  <w:style w:type="character" w:styleId="PlaceholderText">
    <w:uiPriority w:val="99"/>
    <w:name w:val="Placeholder Text"/>
    <w:basedOn w:val="DefaultParagraphFont"/>
    <w:semiHidden/>
    <w:rsid w:val="73DA7CAF"/>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1.xml" Id="rId9" /><Relationship Type="http://schemas.openxmlformats.org/officeDocument/2006/relationships/hyperlink" Target="https://www.sec.gov/Archives/edgar/data/1559720/000155972026000004/abnb-20251231.htm" TargetMode="External" Id="Rbdb68122e6914f07" /><Relationship Type="http://schemas.openxmlformats.org/officeDocument/2006/relationships/hyperlink" Target="https://doi.org/10.1016/j.annals.2023.103605" TargetMode="External" Id="Rc9ee215e7ee345bd" /><Relationship Type="http://schemas.openxmlformats.org/officeDocument/2006/relationships/hyperlink" Target="https://doi.org/10.1016/j.tourman.2018.11.008" TargetMode="External" Id="R27912a36601942c1" /><Relationship Type="http://schemas.openxmlformats.org/officeDocument/2006/relationships/hyperlink" Target="https://doi.org/10.1016/j.tourman.2019.104049" TargetMode="External" Id="R94a5510098f54ab4" /><Relationship Type="http://schemas.openxmlformats.org/officeDocument/2006/relationships/hyperlink" Target="https://doi.org/10.1080/13683500.2013.827159" TargetMode="External" Id="R05943b1992f2482c" /><Relationship Type="http://schemas.openxmlformats.org/officeDocument/2006/relationships/hyperlink" Target="https://doi.org/10.1002/cb.1512" TargetMode="External" Id="R70d75719a2b1447c" /><Relationship Type="http://schemas.openxmlformats.org/officeDocument/2006/relationships/hyperlink" Target="https://doi.org/10.1016/j.heliyon.2021.e08222" TargetMode="External" Id="R9d5d5e8acb60443b" /><Relationship Type="http://schemas.openxmlformats.org/officeDocument/2006/relationships/hyperlink" Target="https://doi.org/10.1016/j.emj.2017.06.005" TargetMode="External" Id="R42657341e4df422b" /><Relationship Type="http://schemas.openxmlformats.org/officeDocument/2006/relationships/hyperlink" Target="https://doi.org/10.1016/j.jbusres.2021.07.054" TargetMode="External" Id="Rb41c5446a4e248bb" /><Relationship Type="http://schemas.openxmlformats.org/officeDocument/2006/relationships/hyperlink" Target="https://doi.org/10.1509/jmr.15.0204" TargetMode="External" Id="R45f5ef6bc4d7480c" /><Relationship Type="http://schemas.openxmlformats.org/officeDocument/2006/relationships/glossaryDocument" Target="glossary/document.xml" Id="Ra8607eebb7d34e5d" /></Relationships>
</file>

<file path=word/glossary/document.xml><?xml version="1.0" encoding="utf-8"?>
<w:glossaryDocument xmlns:w14="http://schemas.microsoft.com/office/word/2010/wordml" xmlns:w="http://schemas.openxmlformats.org/wordprocessingml/2006/main">
  <w:docParts>
    <w:docPart>
      <w:docPartPr>
        <w:name w:val="DefaultPlaceholder_-1854013440"/>
        <w:category>
          <w:name w:val="General"/>
          <w:gallery w:val="placeholder"/>
        </w:category>
        <w:types>
          <w:type w:val="bbPlcHdr"/>
        </w:types>
        <w:behaviors>
          <w:behavior w:val="content"/>
        </w:behaviors>
        <w:guid w:val="{01DDA24B-3002-46B7-A39D-0F58D3A347DE}"/>
      </w:docPartPr>
      <w:docPartBody>
        <w:p w:rsidR="73DA7CAF" w:rsidRDefault="73DA7CAF" w14:paraId="789BC59B" w14:textId="33689796">
          <w:r w:rsidRPr="73DA7CAF" w:rsidR="73DA7CAF">
            <w:rPr>
              <w:rStyle w:val="PlaceholderText"/>
            </w:rPr>
            <w:t>Click or tap here to enter text.</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Team Strategic Analysis Report Airbnb Inc</dc:title>
  <dc:subject>BUS 8500 Week 8 Final Team Strategic Analysis Report</dc:subject>
  <dc:creator>Dinara Baimukhanova; Apuroop Reddy Tummala; Ayush Dhungel; Rohit Alavala; Sumana Allagadda; Chiemeka J. Iheonu</dc:creator>
  <keywords>Airbnb, strategic analysis, BUS-8500, APA 7</keywords>
  <dc:description>generated by python-docx</dc:description>
  <lastModifiedBy>DHUNGEL, Ayush</lastModifiedBy>
  <revision>2</revision>
  <dcterms:created xsi:type="dcterms:W3CDTF">2013-12-23T23:15:00.0000000Z</dcterms:created>
  <dcterms:modified xsi:type="dcterms:W3CDTF">2026-10-17T15:31:09.0722593Z</dcterms:modified>
  <category/>
</coreProperties>
</file>

<file path=docProps/custom.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TII_WORD_DOCUMENT_FILENAME">
    <vt:lpwstr xmlns:vt="http://schemas.openxmlformats.org/officeDocument/2006/docPropsVTypes">BUS-8500_Week_8_Airbnb_Strategic_Analysis_Report.docx</vt:lpwstr>
  </property>
  <property xmlns="http://schemas.openxmlformats.org/officeDocument/2006/custom-properties" fmtid="{D5CDD505-2E9C-101B-9397-08002B2CF9AE}" pid="3" name="TII_WORD_DOCUMENT_ID">
    <vt:lpwstr xmlns:vt="http://schemas.openxmlformats.org/officeDocument/2006/docPropsVTypes">91993597-da5f-47fb-bd16-093d1f720d7c</vt:lpwstr>
  </property>
  <property xmlns="http://schemas.openxmlformats.org/officeDocument/2006/custom-properties" fmtid="{D5CDD505-2E9C-101B-9397-08002B2CF9AE}" pid="4" name="TII_WORD_DOCUMENT_HASH">
    <vt:lpwstr xmlns:vt="http://schemas.openxmlformats.org/officeDocument/2006/docPropsVTypes">9b5b2327b24620cd0b1c88394d205366bd06e11034ccdb9e7d1a64d6138f72eb</vt:lpwstr>
  </property>
</Properties>
</file>